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7809C" w14:textId="77777777" w:rsidR="00737A99" w:rsidRPr="005814F5" w:rsidRDefault="0091365A" w:rsidP="00020B35">
      <w:pPr>
        <w:spacing w:after="0"/>
        <w:jc w:val="right"/>
      </w:pPr>
      <w:r>
        <w:rPr>
          <w:noProof/>
          <w:lang w:eastAsia="en-AU"/>
        </w:rPr>
        <w:drawing>
          <wp:inline distT="0" distB="0" distL="0" distR="0" wp14:anchorId="7AACAAD4" wp14:editId="4D227C0E">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0D8DA7DB" w14:textId="2F124A43" w:rsidR="00034AC8" w:rsidRPr="00E54590" w:rsidRDefault="00034AC8" w:rsidP="00E54590">
      <w:pPr>
        <w:pStyle w:val="DocumentTitle"/>
        <w:spacing w:before="1920" w:after="960"/>
        <w:rPr>
          <w:sz w:val="40"/>
          <w:szCs w:val="40"/>
        </w:rPr>
      </w:pPr>
      <w:r w:rsidRPr="0035741B">
        <w:rPr>
          <w:sz w:val="40"/>
          <w:szCs w:val="40"/>
        </w:rPr>
        <w:t>Multi-year Arts Grants Guidelines 2025-2027</w:t>
      </w:r>
    </w:p>
    <w:p w14:paraId="1B1CC0BB" w14:textId="77777777" w:rsidR="00034AC8" w:rsidRPr="00196950" w:rsidRDefault="00034AC8" w:rsidP="00034AC8">
      <w:pPr>
        <w:pStyle w:val="Heading1"/>
        <w:rPr>
          <w:rFonts w:hint="eastAsia"/>
        </w:rPr>
      </w:pPr>
      <w:r>
        <w:t>Key dates</w:t>
      </w:r>
      <w:r w:rsidRPr="00FF35CC">
        <w:rPr>
          <w:rFonts w:hint="eastAsia"/>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3482"/>
        <w:gridCol w:w="3039"/>
      </w:tblGrid>
      <w:tr w:rsidR="00034AC8" w:rsidRPr="00966C80" w14:paraId="21E37998" w14:textId="77777777" w:rsidTr="005E2E0D">
        <w:tc>
          <w:tcPr>
            <w:tcW w:w="3482" w:type="dxa"/>
            <w:shd w:val="clear" w:color="auto" w:fill="auto"/>
          </w:tcPr>
          <w:p w14:paraId="3068FB01" w14:textId="77777777" w:rsidR="00034AC8" w:rsidRPr="00966C80" w:rsidRDefault="00034AC8" w:rsidP="001C1A94">
            <w:pPr>
              <w:pStyle w:val="TableofFigures"/>
              <w:rPr>
                <w:b/>
                <w:szCs w:val="20"/>
              </w:rPr>
            </w:pPr>
            <w:r w:rsidRPr="00966C80">
              <w:rPr>
                <w:b/>
                <w:szCs w:val="20"/>
              </w:rPr>
              <w:t>Applications open</w:t>
            </w:r>
          </w:p>
        </w:tc>
        <w:tc>
          <w:tcPr>
            <w:tcW w:w="3039" w:type="dxa"/>
            <w:shd w:val="clear" w:color="auto" w:fill="auto"/>
          </w:tcPr>
          <w:p w14:paraId="467216DA" w14:textId="6A861775" w:rsidR="00034AC8" w:rsidRPr="00966C80" w:rsidRDefault="002F20C5" w:rsidP="001C1A94">
            <w:pPr>
              <w:pStyle w:val="TableofFigures"/>
              <w:rPr>
                <w:szCs w:val="20"/>
              </w:rPr>
            </w:pPr>
            <w:r w:rsidRPr="00966C80">
              <w:rPr>
                <w:szCs w:val="20"/>
              </w:rPr>
              <w:t xml:space="preserve">29 April </w:t>
            </w:r>
            <w:r w:rsidR="00034AC8" w:rsidRPr="00966C80">
              <w:rPr>
                <w:szCs w:val="20"/>
              </w:rPr>
              <w:t xml:space="preserve">2024 </w:t>
            </w:r>
          </w:p>
        </w:tc>
      </w:tr>
      <w:tr w:rsidR="00D1424A" w:rsidRPr="00966C80" w14:paraId="4D957B08" w14:textId="77777777" w:rsidTr="00D1424A">
        <w:tc>
          <w:tcPr>
            <w:tcW w:w="3482" w:type="dxa"/>
            <w:tcBorders>
              <w:top w:val="single" w:sz="4" w:space="0" w:color="auto"/>
              <w:left w:val="single" w:sz="4" w:space="0" w:color="auto"/>
              <w:bottom w:val="single" w:sz="4" w:space="0" w:color="auto"/>
              <w:right w:val="single" w:sz="4" w:space="0" w:color="auto"/>
            </w:tcBorders>
            <w:shd w:val="clear" w:color="auto" w:fill="auto"/>
          </w:tcPr>
          <w:p w14:paraId="79239A07" w14:textId="6AD1B919" w:rsidR="00D1424A" w:rsidRPr="00D1424A" w:rsidRDefault="00D1424A" w:rsidP="00635BB6">
            <w:pPr>
              <w:pStyle w:val="TableofFigures"/>
              <w:rPr>
                <w:b/>
                <w:szCs w:val="20"/>
              </w:rPr>
            </w:pPr>
            <w:r>
              <w:rPr>
                <w:b/>
                <w:szCs w:val="20"/>
              </w:rPr>
              <w:t>O</w:t>
            </w:r>
            <w:r w:rsidRPr="007D0114">
              <w:rPr>
                <w:b/>
                <w:szCs w:val="20"/>
              </w:rPr>
              <w:t>nline</w:t>
            </w:r>
            <w:r>
              <w:rPr>
                <w:b/>
                <w:szCs w:val="20"/>
              </w:rPr>
              <w:t xml:space="preserve"> b</w:t>
            </w:r>
            <w:r w:rsidRPr="007D0114">
              <w:rPr>
                <w:b/>
                <w:szCs w:val="20"/>
              </w:rPr>
              <w:t>riefing session</w:t>
            </w:r>
            <w:r w:rsidR="00635BB6">
              <w:rPr>
                <w:b/>
                <w:szCs w:val="20"/>
              </w:rPr>
              <w:br/>
            </w:r>
            <w:hyperlink r:id="rId9" w:history="1">
              <w:r w:rsidR="00635BB6">
                <w:rPr>
                  <w:rStyle w:val="Hyperlink"/>
                  <w:b/>
                  <w:szCs w:val="20"/>
                </w:rPr>
                <w:t>Bookings</w:t>
              </w:r>
            </w:hyperlink>
            <w:r w:rsidR="00635BB6" w:rsidRPr="00C6114A">
              <w:rPr>
                <w:rStyle w:val="FootnoteReference"/>
                <w:color w:val="0000FF"/>
                <w:szCs w:val="20"/>
                <w:u w:val="single"/>
              </w:rPr>
              <w:footnoteReference w:id="1"/>
            </w:r>
            <w:r w:rsidRPr="00C6114A">
              <w:rPr>
                <w:rStyle w:val="Hyperlink"/>
                <w:color w:val="auto"/>
                <w:szCs w:val="20"/>
                <w:u w:val="none"/>
              </w:rPr>
              <w:t xml:space="preserve"> </w:t>
            </w:r>
            <w:r w:rsidR="00635BB6">
              <w:rPr>
                <w:rStyle w:val="Hyperlink"/>
                <w:b/>
                <w:color w:val="auto"/>
                <w:szCs w:val="20"/>
                <w:u w:val="none"/>
              </w:rPr>
              <w:t>open from 29 April</w:t>
            </w:r>
          </w:p>
        </w:tc>
        <w:tc>
          <w:tcPr>
            <w:tcW w:w="3039" w:type="dxa"/>
            <w:tcBorders>
              <w:top w:val="single" w:sz="4" w:space="0" w:color="auto"/>
              <w:left w:val="single" w:sz="4" w:space="0" w:color="auto"/>
              <w:bottom w:val="single" w:sz="4" w:space="0" w:color="auto"/>
              <w:right w:val="single" w:sz="4" w:space="0" w:color="auto"/>
            </w:tcBorders>
            <w:shd w:val="clear" w:color="auto" w:fill="auto"/>
          </w:tcPr>
          <w:p w14:paraId="65D8E9FD" w14:textId="77777777" w:rsidR="00D1424A" w:rsidRPr="00D1424A" w:rsidRDefault="00D1424A" w:rsidP="005F4C08">
            <w:pPr>
              <w:pStyle w:val="TableofFigures"/>
              <w:rPr>
                <w:szCs w:val="20"/>
              </w:rPr>
            </w:pPr>
            <w:r w:rsidRPr="007D0114">
              <w:rPr>
                <w:szCs w:val="20"/>
              </w:rPr>
              <w:t>4pm 9 May 2024</w:t>
            </w:r>
          </w:p>
        </w:tc>
      </w:tr>
      <w:tr w:rsidR="00034AC8" w:rsidRPr="00966C80" w14:paraId="0AD9593B" w14:textId="77777777" w:rsidTr="005E2E0D">
        <w:tc>
          <w:tcPr>
            <w:tcW w:w="3482" w:type="dxa"/>
            <w:shd w:val="clear" w:color="auto" w:fill="auto"/>
          </w:tcPr>
          <w:p w14:paraId="2EBC923D" w14:textId="77777777" w:rsidR="00034AC8" w:rsidRPr="00966C80" w:rsidRDefault="00034AC8" w:rsidP="001C1A94">
            <w:pPr>
              <w:pStyle w:val="TableofFigures"/>
              <w:rPr>
                <w:b/>
                <w:szCs w:val="20"/>
              </w:rPr>
            </w:pPr>
            <w:r w:rsidRPr="00966C80">
              <w:rPr>
                <w:b/>
                <w:szCs w:val="20"/>
              </w:rPr>
              <w:t>Applications close</w:t>
            </w:r>
          </w:p>
        </w:tc>
        <w:tc>
          <w:tcPr>
            <w:tcW w:w="3039" w:type="dxa"/>
            <w:shd w:val="clear" w:color="auto" w:fill="auto"/>
          </w:tcPr>
          <w:p w14:paraId="1342F5B8" w14:textId="231B010B" w:rsidR="00034AC8" w:rsidRPr="00966C80" w:rsidRDefault="002F20C5" w:rsidP="003E7BF9">
            <w:pPr>
              <w:pStyle w:val="TableofFigures"/>
              <w:rPr>
                <w:szCs w:val="20"/>
              </w:rPr>
            </w:pPr>
            <w:r w:rsidRPr="00966C80">
              <w:rPr>
                <w:szCs w:val="20"/>
              </w:rPr>
              <w:t>11:59pm 2 June 2024</w:t>
            </w:r>
          </w:p>
        </w:tc>
      </w:tr>
      <w:tr w:rsidR="00034AC8" w:rsidRPr="00966C80" w14:paraId="00F890AB" w14:textId="77777777" w:rsidTr="005E2E0D">
        <w:tc>
          <w:tcPr>
            <w:tcW w:w="3482" w:type="dxa"/>
            <w:shd w:val="clear" w:color="auto" w:fill="auto"/>
          </w:tcPr>
          <w:p w14:paraId="4F40E78D" w14:textId="77777777" w:rsidR="00034AC8" w:rsidRPr="00966C80" w:rsidRDefault="00034AC8" w:rsidP="001C1A94">
            <w:pPr>
              <w:pStyle w:val="TableofFigures"/>
              <w:rPr>
                <w:b/>
                <w:szCs w:val="20"/>
              </w:rPr>
            </w:pPr>
            <w:r w:rsidRPr="00966C80">
              <w:rPr>
                <w:b/>
                <w:szCs w:val="20"/>
              </w:rPr>
              <w:t>Notification to applicants</w:t>
            </w:r>
          </w:p>
        </w:tc>
        <w:tc>
          <w:tcPr>
            <w:tcW w:w="3039" w:type="dxa"/>
            <w:shd w:val="clear" w:color="auto" w:fill="auto"/>
          </w:tcPr>
          <w:p w14:paraId="07FFF221" w14:textId="766BAFD7" w:rsidR="00034AC8" w:rsidRPr="00966C80" w:rsidRDefault="002F20C5" w:rsidP="001C1A94">
            <w:pPr>
              <w:pStyle w:val="TableofFigures"/>
              <w:rPr>
                <w:szCs w:val="20"/>
              </w:rPr>
            </w:pPr>
            <w:r w:rsidRPr="00966C80">
              <w:rPr>
                <w:szCs w:val="20"/>
              </w:rPr>
              <w:t xml:space="preserve">September </w:t>
            </w:r>
            <w:r w:rsidR="00034AC8" w:rsidRPr="00966C80">
              <w:rPr>
                <w:szCs w:val="20"/>
              </w:rPr>
              <w:t>2024</w:t>
            </w:r>
          </w:p>
        </w:tc>
      </w:tr>
    </w:tbl>
    <w:p w14:paraId="5AD297D5" w14:textId="6EDB431F" w:rsidR="00034AC8" w:rsidRPr="00966C80" w:rsidRDefault="00034AC8" w:rsidP="00034AC8">
      <w:pPr>
        <w:spacing w:before="960"/>
        <w:rPr>
          <w:szCs w:val="20"/>
        </w:rPr>
      </w:pPr>
      <w:r w:rsidRPr="00966C80">
        <w:rPr>
          <w:szCs w:val="20"/>
        </w:rPr>
        <w:t>The City of Melbourne respectfully acknowledges the Traditional Owners of the land we govern, the Wurundjeri Woi-wurrung and Bunurong / Boon Wurrung peoples of the Kulin Nation and pays respect to their Elders past and present. We acknowledge and honour the unbroken spiritual, cultural and political connection they have maintained to this unique place for more than 2000 generations.</w:t>
      </w:r>
    </w:p>
    <w:p w14:paraId="5C17AA8F" w14:textId="77777777" w:rsidR="00034AC8" w:rsidRPr="00966C80" w:rsidRDefault="00034AC8" w:rsidP="00034AC8">
      <w:pPr>
        <w:spacing w:after="0"/>
        <w:rPr>
          <w:szCs w:val="20"/>
        </w:rPr>
      </w:pPr>
      <w:r w:rsidRPr="00966C80">
        <w:rPr>
          <w:szCs w:val="20"/>
        </w:rPr>
        <w:t>We accept the invitation in the Uluru Statement from the Heart and are committed to walking tog</w:t>
      </w:r>
      <w:bookmarkStart w:id="0" w:name="_Toc403992345"/>
      <w:bookmarkStart w:id="1" w:name="_Toc403992580"/>
      <w:r w:rsidRPr="00966C80">
        <w:rPr>
          <w:szCs w:val="20"/>
        </w:rPr>
        <w:t>ether to build a better future.</w:t>
      </w:r>
    </w:p>
    <w:p w14:paraId="12F70FA3" w14:textId="77777777" w:rsidR="00034AC8" w:rsidRPr="00966C80" w:rsidRDefault="00034AC8" w:rsidP="00034AC8">
      <w:pPr>
        <w:pStyle w:val="Heading1"/>
        <w:spacing w:before="0" w:after="0"/>
        <w:rPr>
          <w:rFonts w:hint="eastAsia"/>
          <w:sz w:val="20"/>
          <w:szCs w:val="20"/>
        </w:rPr>
      </w:pPr>
      <w:r w:rsidRPr="00966C80">
        <w:rPr>
          <w:rFonts w:hint="eastAsia"/>
          <w:sz w:val="20"/>
          <w:szCs w:val="20"/>
        </w:rPr>
        <w:br w:type="page"/>
      </w:r>
      <w:bookmarkStart w:id="2" w:name="_Toc22312347"/>
      <w:bookmarkStart w:id="3" w:name="_GoBack"/>
      <w:bookmarkEnd w:id="0"/>
      <w:bookmarkEnd w:id="1"/>
      <w:bookmarkEnd w:id="3"/>
    </w:p>
    <w:p w14:paraId="45EAF59B" w14:textId="1C7C0534" w:rsidR="000C4F10" w:rsidRPr="007E4AB9" w:rsidRDefault="00034AC8" w:rsidP="007E4AB9">
      <w:pPr>
        <w:pStyle w:val="Heading1"/>
        <w:numPr>
          <w:ilvl w:val="0"/>
          <w:numId w:val="17"/>
        </w:numPr>
        <w:spacing w:before="0"/>
        <w:ind w:left="357" w:hanging="357"/>
        <w:rPr>
          <w:rFonts w:hint="eastAsia"/>
        </w:rPr>
      </w:pPr>
      <w:r w:rsidRPr="00431D2E">
        <w:lastRenderedPageBreak/>
        <w:t>I</w:t>
      </w:r>
      <w:r>
        <w:t>ntroduction</w:t>
      </w:r>
      <w:bookmarkStart w:id="4" w:name="_Toc403992346"/>
      <w:bookmarkStart w:id="5" w:name="_Toc403992581"/>
      <w:bookmarkStart w:id="6" w:name="_Toc419982220"/>
      <w:bookmarkStart w:id="7" w:name="_Toc419982306"/>
      <w:bookmarkEnd w:id="2"/>
    </w:p>
    <w:p w14:paraId="3F64AC5D" w14:textId="033EDEDE" w:rsidR="00034AC8" w:rsidRPr="00966C80" w:rsidRDefault="00034AC8" w:rsidP="00A92A28">
      <w:pPr>
        <w:rPr>
          <w:szCs w:val="20"/>
        </w:rPr>
      </w:pPr>
      <w:r w:rsidRPr="00966C80">
        <w:rPr>
          <w:szCs w:val="20"/>
        </w:rPr>
        <w:t xml:space="preserve">Council’s vision is to consolidate Melbourne’s strengths as a creative city: a place that inspires experimentation, innovation and creativity. We embrace the transformative role that the arts and creativity plays in building all aspects of the city. This is reinforced in our </w:t>
      </w:r>
      <w:hyperlink r:id="rId10" w:history="1">
        <w:r w:rsidRPr="00966C80">
          <w:rPr>
            <w:rStyle w:val="Hyperlink"/>
            <w:szCs w:val="20"/>
          </w:rPr>
          <w:t>Creative Strategy 2018-28</w:t>
        </w:r>
      </w:hyperlink>
      <w:r w:rsidRPr="00966C80">
        <w:rPr>
          <w:rStyle w:val="FootnoteReference"/>
          <w:color w:val="0000FF"/>
          <w:szCs w:val="20"/>
          <w:u w:val="single"/>
        </w:rPr>
        <w:footnoteReference w:id="2"/>
      </w:r>
      <w:r w:rsidRPr="00966C80">
        <w:rPr>
          <w:szCs w:val="20"/>
        </w:rPr>
        <w:t>, which places creativity and artists at the heart of our work</w:t>
      </w:r>
      <w:r w:rsidR="00A426D1">
        <w:rPr>
          <w:szCs w:val="20"/>
        </w:rPr>
        <w:t xml:space="preserve"> </w:t>
      </w:r>
      <w:r w:rsidR="00A426D1" w:rsidRPr="00CF7DCA">
        <w:rPr>
          <w:szCs w:val="20"/>
        </w:rPr>
        <w:t>and</w:t>
      </w:r>
      <w:r w:rsidR="00F056E0" w:rsidRPr="00CF7DCA">
        <w:rPr>
          <w:szCs w:val="20"/>
        </w:rPr>
        <w:t xml:space="preserve"> drives</w:t>
      </w:r>
      <w:r w:rsidR="00A426D1" w:rsidRPr="00CF7DCA">
        <w:rPr>
          <w:szCs w:val="20"/>
        </w:rPr>
        <w:t xml:space="preserve"> our </w:t>
      </w:r>
      <w:hyperlink r:id="rId11" w:history="1">
        <w:r w:rsidR="00A426D1" w:rsidRPr="00CF7DCA">
          <w:rPr>
            <w:rStyle w:val="Hyperlink"/>
            <w:szCs w:val="20"/>
          </w:rPr>
          <w:t>Creative Funding Framework 2024-30</w:t>
        </w:r>
      </w:hyperlink>
      <w:r w:rsidR="002063DA" w:rsidRPr="00CF7DCA">
        <w:rPr>
          <w:rStyle w:val="FootnoteReference"/>
          <w:szCs w:val="20"/>
        </w:rPr>
        <w:footnoteReference w:id="3"/>
      </w:r>
      <w:r w:rsidRPr="00CF7DCA">
        <w:rPr>
          <w:szCs w:val="20"/>
        </w:rPr>
        <w:t>.</w:t>
      </w:r>
      <w:r w:rsidRPr="00966C80">
        <w:rPr>
          <w:szCs w:val="20"/>
        </w:rPr>
        <w:t xml:space="preserve"> </w:t>
      </w:r>
    </w:p>
    <w:p w14:paraId="57BA7F74" w14:textId="5BC57502" w:rsidR="00034AC8" w:rsidRPr="00966C80" w:rsidRDefault="00034AC8" w:rsidP="00A92A28">
      <w:pPr>
        <w:rPr>
          <w:szCs w:val="20"/>
          <w:highlight w:val="cyan"/>
        </w:rPr>
      </w:pPr>
      <w:r w:rsidRPr="00966C80">
        <w:rPr>
          <w:szCs w:val="20"/>
        </w:rPr>
        <w:t xml:space="preserve">Council is committed to investing in multi-year funding to </w:t>
      </w:r>
      <w:r w:rsidRPr="003E02DF">
        <w:rPr>
          <w:szCs w:val="20"/>
        </w:rPr>
        <w:t>innovative arts organisations</w:t>
      </w:r>
      <w:r w:rsidRPr="00966C80">
        <w:rPr>
          <w:szCs w:val="20"/>
        </w:rPr>
        <w:t xml:space="preserve"> who can transform our city with bold confidence.</w:t>
      </w:r>
      <w:r w:rsidR="00630A6A" w:rsidRPr="00966C80">
        <w:rPr>
          <w:szCs w:val="20"/>
        </w:rPr>
        <w:t xml:space="preserve"> Our </w:t>
      </w:r>
      <w:r w:rsidRPr="00966C80">
        <w:rPr>
          <w:szCs w:val="20"/>
        </w:rPr>
        <w:t>principles for creative funding have been developed in response to wide sector consultation. These principles will guide decision making and the strategic choices we make about what is funded.</w:t>
      </w:r>
    </w:p>
    <w:p w14:paraId="4898A162" w14:textId="77777777" w:rsidR="00034AC8" w:rsidRPr="00966C80" w:rsidRDefault="00034AC8" w:rsidP="00034AC8">
      <w:pPr>
        <w:numPr>
          <w:ilvl w:val="0"/>
          <w:numId w:val="18"/>
        </w:numPr>
        <w:spacing w:after="0"/>
        <w:rPr>
          <w:szCs w:val="20"/>
        </w:rPr>
      </w:pPr>
      <w:r w:rsidRPr="00966C80">
        <w:rPr>
          <w:szCs w:val="20"/>
        </w:rPr>
        <w:t xml:space="preserve">We support artists and small to </w:t>
      </w:r>
      <w:r w:rsidRPr="003E02DF">
        <w:rPr>
          <w:szCs w:val="20"/>
        </w:rPr>
        <w:t>medium arts organisations.</w:t>
      </w:r>
    </w:p>
    <w:p w14:paraId="22740F6F" w14:textId="77777777" w:rsidR="00034AC8" w:rsidRPr="00966C80" w:rsidRDefault="00034AC8" w:rsidP="00034AC8">
      <w:pPr>
        <w:numPr>
          <w:ilvl w:val="0"/>
          <w:numId w:val="18"/>
        </w:numPr>
        <w:spacing w:after="0"/>
        <w:rPr>
          <w:szCs w:val="20"/>
        </w:rPr>
      </w:pPr>
      <w:r w:rsidRPr="00966C80">
        <w:rPr>
          <w:szCs w:val="20"/>
        </w:rPr>
        <w:t>We build and strengthen relationships with Aboriginal artists and arts organisations.</w:t>
      </w:r>
    </w:p>
    <w:p w14:paraId="5980DF34" w14:textId="77777777" w:rsidR="00034AC8" w:rsidRPr="00966C80" w:rsidRDefault="00034AC8" w:rsidP="00034AC8">
      <w:pPr>
        <w:numPr>
          <w:ilvl w:val="0"/>
          <w:numId w:val="18"/>
        </w:numPr>
        <w:spacing w:after="0"/>
        <w:rPr>
          <w:szCs w:val="20"/>
        </w:rPr>
      </w:pPr>
      <w:r w:rsidRPr="00966C80">
        <w:rPr>
          <w:szCs w:val="20"/>
        </w:rPr>
        <w:t>We prioritise challenging, creative ideas and ambition.</w:t>
      </w:r>
    </w:p>
    <w:p w14:paraId="3FFFAB7A" w14:textId="77777777" w:rsidR="00034AC8" w:rsidRPr="00966C80" w:rsidRDefault="00034AC8" w:rsidP="00034AC8">
      <w:pPr>
        <w:numPr>
          <w:ilvl w:val="0"/>
          <w:numId w:val="18"/>
        </w:numPr>
        <w:spacing w:after="0"/>
        <w:rPr>
          <w:szCs w:val="20"/>
        </w:rPr>
      </w:pPr>
      <w:r w:rsidRPr="00966C80">
        <w:rPr>
          <w:szCs w:val="20"/>
        </w:rPr>
        <w:t>We support creatives and projects that reflect the diversity of Melbourne.</w:t>
      </w:r>
    </w:p>
    <w:p w14:paraId="4E623C23" w14:textId="77777777" w:rsidR="00034AC8" w:rsidRPr="00966C80" w:rsidRDefault="00034AC8" w:rsidP="00034AC8">
      <w:pPr>
        <w:numPr>
          <w:ilvl w:val="0"/>
          <w:numId w:val="18"/>
        </w:numPr>
        <w:spacing w:after="0"/>
        <w:rPr>
          <w:szCs w:val="20"/>
        </w:rPr>
      </w:pPr>
      <w:r w:rsidRPr="00966C80">
        <w:rPr>
          <w:szCs w:val="20"/>
        </w:rPr>
        <w:t>We encourage participation and activation of the arts within the municipality.</w:t>
      </w:r>
    </w:p>
    <w:p w14:paraId="29A9FC3C" w14:textId="77777777" w:rsidR="00034AC8" w:rsidRPr="00966C80" w:rsidRDefault="00034AC8" w:rsidP="00034AC8">
      <w:pPr>
        <w:numPr>
          <w:ilvl w:val="0"/>
          <w:numId w:val="18"/>
        </w:numPr>
        <w:spacing w:after="0"/>
        <w:rPr>
          <w:szCs w:val="20"/>
        </w:rPr>
      </w:pPr>
      <w:r w:rsidRPr="00966C80">
        <w:rPr>
          <w:szCs w:val="20"/>
        </w:rPr>
        <w:t>We prioritise projects that contribute to the creative transformation of Melbourne.</w:t>
      </w:r>
    </w:p>
    <w:p w14:paraId="793E4463" w14:textId="77777777" w:rsidR="00034AC8" w:rsidRDefault="00034AC8" w:rsidP="00034AC8">
      <w:pPr>
        <w:pStyle w:val="Heading1"/>
        <w:numPr>
          <w:ilvl w:val="0"/>
          <w:numId w:val="17"/>
        </w:numPr>
        <w:rPr>
          <w:rFonts w:hint="eastAsia"/>
        </w:rPr>
      </w:pPr>
      <w:r>
        <w:rPr>
          <w:rFonts w:hint="eastAsia"/>
        </w:rPr>
        <w:t>F</w:t>
      </w:r>
      <w:r>
        <w:t>unding streams</w: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065"/>
        <w:gridCol w:w="1984"/>
        <w:gridCol w:w="5812"/>
      </w:tblGrid>
      <w:tr w:rsidR="00034AC8" w:rsidRPr="000474AE" w14:paraId="6681D4CA" w14:textId="77777777" w:rsidTr="00C85B66">
        <w:trPr>
          <w:tblHeader/>
        </w:trPr>
        <w:tc>
          <w:tcPr>
            <w:tcW w:w="2065" w:type="dxa"/>
            <w:shd w:val="clear" w:color="auto" w:fill="auto"/>
          </w:tcPr>
          <w:p w14:paraId="64D28BD0" w14:textId="77777777" w:rsidR="00034AC8" w:rsidRPr="00966C80" w:rsidRDefault="00034AC8" w:rsidP="001C1A94">
            <w:pPr>
              <w:pStyle w:val="TableofFigures"/>
              <w:rPr>
                <w:b/>
                <w:szCs w:val="20"/>
              </w:rPr>
            </w:pPr>
            <w:r w:rsidRPr="00966C80">
              <w:rPr>
                <w:b/>
                <w:szCs w:val="20"/>
              </w:rPr>
              <w:t>Funding stream</w:t>
            </w:r>
          </w:p>
        </w:tc>
        <w:tc>
          <w:tcPr>
            <w:tcW w:w="1984" w:type="dxa"/>
            <w:shd w:val="clear" w:color="auto" w:fill="auto"/>
          </w:tcPr>
          <w:p w14:paraId="7C4AA285" w14:textId="77777777" w:rsidR="00034AC8" w:rsidRPr="00966C80" w:rsidRDefault="00034AC8" w:rsidP="001C1A94">
            <w:pPr>
              <w:pStyle w:val="TableofFigures"/>
              <w:rPr>
                <w:b/>
                <w:szCs w:val="20"/>
              </w:rPr>
            </w:pPr>
            <w:r w:rsidRPr="00966C80">
              <w:rPr>
                <w:b/>
                <w:szCs w:val="20"/>
              </w:rPr>
              <w:t>Funding available</w:t>
            </w:r>
          </w:p>
        </w:tc>
        <w:tc>
          <w:tcPr>
            <w:tcW w:w="5812" w:type="dxa"/>
            <w:shd w:val="clear" w:color="auto" w:fill="auto"/>
          </w:tcPr>
          <w:p w14:paraId="5649C11A" w14:textId="77777777" w:rsidR="00034AC8" w:rsidRPr="00966C80" w:rsidRDefault="00034AC8" w:rsidP="001C1A94">
            <w:pPr>
              <w:pStyle w:val="TableofFigures"/>
              <w:rPr>
                <w:b/>
                <w:szCs w:val="20"/>
              </w:rPr>
            </w:pPr>
            <w:r w:rsidRPr="00966C80">
              <w:rPr>
                <w:b/>
                <w:szCs w:val="20"/>
              </w:rPr>
              <w:t>Key information</w:t>
            </w:r>
          </w:p>
        </w:tc>
      </w:tr>
      <w:tr w:rsidR="00034AC8" w:rsidRPr="00493E0A" w14:paraId="3B51ABE0" w14:textId="77777777" w:rsidTr="00C85B66">
        <w:tc>
          <w:tcPr>
            <w:tcW w:w="2065" w:type="dxa"/>
            <w:shd w:val="clear" w:color="auto" w:fill="auto"/>
          </w:tcPr>
          <w:p w14:paraId="1DCD3B20" w14:textId="77777777" w:rsidR="00034AC8" w:rsidRPr="00966C80" w:rsidRDefault="00034AC8" w:rsidP="001C1A94">
            <w:pPr>
              <w:pStyle w:val="TableofFigures"/>
              <w:rPr>
                <w:szCs w:val="20"/>
              </w:rPr>
            </w:pPr>
            <w:r w:rsidRPr="00966C80">
              <w:rPr>
                <w:szCs w:val="20"/>
              </w:rPr>
              <w:t>Multi-year Arts Grants</w:t>
            </w:r>
          </w:p>
          <w:p w14:paraId="65620A1F" w14:textId="77777777" w:rsidR="00034AC8" w:rsidRPr="00966C80" w:rsidRDefault="00034AC8" w:rsidP="001C1A94">
            <w:pPr>
              <w:pStyle w:val="TableofFigures"/>
              <w:rPr>
                <w:szCs w:val="20"/>
              </w:rPr>
            </w:pPr>
            <w:r w:rsidRPr="00966C80">
              <w:rPr>
                <w:szCs w:val="20"/>
              </w:rPr>
              <w:t>2025 - 2027</w:t>
            </w:r>
          </w:p>
        </w:tc>
        <w:tc>
          <w:tcPr>
            <w:tcW w:w="1984" w:type="dxa"/>
            <w:shd w:val="clear" w:color="auto" w:fill="auto"/>
          </w:tcPr>
          <w:p w14:paraId="7D2B3CBF" w14:textId="70590E64" w:rsidR="00034AC8" w:rsidRPr="00966C80" w:rsidRDefault="008F437F" w:rsidP="00DF5250">
            <w:pPr>
              <w:pStyle w:val="TableofFigures"/>
              <w:rPr>
                <w:szCs w:val="20"/>
              </w:rPr>
            </w:pPr>
            <w:r>
              <w:rPr>
                <w:szCs w:val="20"/>
              </w:rPr>
              <w:t>$40,000 to $33</w:t>
            </w:r>
            <w:r w:rsidR="00034AC8" w:rsidRPr="00966C80">
              <w:rPr>
                <w:szCs w:val="20"/>
              </w:rPr>
              <w:t xml:space="preserve">0,000 </w:t>
            </w:r>
            <w:r w:rsidR="00DF5250">
              <w:rPr>
                <w:szCs w:val="20"/>
              </w:rPr>
              <w:t>annually</w:t>
            </w:r>
          </w:p>
        </w:tc>
        <w:tc>
          <w:tcPr>
            <w:tcW w:w="5812" w:type="dxa"/>
            <w:shd w:val="clear" w:color="auto" w:fill="auto"/>
          </w:tcPr>
          <w:p w14:paraId="7EC66464" w14:textId="22F05607" w:rsidR="00034AC8" w:rsidRPr="00966C80" w:rsidRDefault="00034AC8" w:rsidP="001C1A94">
            <w:pPr>
              <w:pStyle w:val="TableofFigures"/>
              <w:rPr>
                <w:szCs w:val="20"/>
              </w:rPr>
            </w:pPr>
            <w:r w:rsidRPr="00966C80">
              <w:rPr>
                <w:szCs w:val="20"/>
              </w:rPr>
              <w:t>Call for proposals every 3 years</w:t>
            </w:r>
          </w:p>
          <w:p w14:paraId="1C065E05" w14:textId="0C4466A0" w:rsidR="00034AC8" w:rsidRPr="00966C80" w:rsidRDefault="00034AC8" w:rsidP="00FE0484">
            <w:pPr>
              <w:pStyle w:val="TableofFigures"/>
              <w:rPr>
                <w:szCs w:val="20"/>
              </w:rPr>
            </w:pPr>
            <w:r w:rsidRPr="00966C80">
              <w:rPr>
                <w:szCs w:val="20"/>
              </w:rPr>
              <w:t xml:space="preserve">Open to small, medium and </w:t>
            </w:r>
            <w:r w:rsidRPr="003E02DF">
              <w:rPr>
                <w:szCs w:val="20"/>
              </w:rPr>
              <w:t xml:space="preserve">large </w:t>
            </w:r>
            <w:r w:rsidR="005B5B7B" w:rsidRPr="003E02DF">
              <w:rPr>
                <w:szCs w:val="20"/>
              </w:rPr>
              <w:t xml:space="preserve">arts </w:t>
            </w:r>
            <w:r w:rsidRPr="003E02DF">
              <w:rPr>
                <w:szCs w:val="20"/>
              </w:rPr>
              <w:t>organisations</w:t>
            </w:r>
            <w:r w:rsidR="00FE0484">
              <w:rPr>
                <w:szCs w:val="20"/>
              </w:rPr>
              <w:t xml:space="preserve"> p</w:t>
            </w:r>
            <w:r w:rsidR="00895CCF" w:rsidRPr="00966C80">
              <w:rPr>
                <w:szCs w:val="20"/>
              </w:rPr>
              <w:t>resenting work to the public annually</w:t>
            </w:r>
          </w:p>
        </w:tc>
      </w:tr>
      <w:tr w:rsidR="00034AC8" w:rsidRPr="00493E0A" w14:paraId="676916E0" w14:textId="77777777" w:rsidTr="00C85B66">
        <w:tc>
          <w:tcPr>
            <w:tcW w:w="2065" w:type="dxa"/>
            <w:shd w:val="clear" w:color="auto" w:fill="auto"/>
          </w:tcPr>
          <w:p w14:paraId="473B83D8" w14:textId="77777777" w:rsidR="00034AC8" w:rsidRPr="00966C80" w:rsidRDefault="00034AC8" w:rsidP="001C1A94">
            <w:pPr>
              <w:pStyle w:val="TableofFigures"/>
              <w:rPr>
                <w:szCs w:val="20"/>
              </w:rPr>
            </w:pPr>
            <w:r w:rsidRPr="00966C80">
              <w:rPr>
                <w:szCs w:val="20"/>
              </w:rPr>
              <w:t>Awards Grants</w:t>
            </w:r>
          </w:p>
          <w:p w14:paraId="513DDCA5" w14:textId="77777777" w:rsidR="00034AC8" w:rsidRPr="00966C80" w:rsidRDefault="00034AC8" w:rsidP="001C1A94">
            <w:pPr>
              <w:pStyle w:val="TableofFigures"/>
              <w:rPr>
                <w:szCs w:val="20"/>
              </w:rPr>
            </w:pPr>
            <w:r w:rsidRPr="00966C80">
              <w:rPr>
                <w:szCs w:val="20"/>
              </w:rPr>
              <w:t>2025 - 2027</w:t>
            </w:r>
          </w:p>
        </w:tc>
        <w:tc>
          <w:tcPr>
            <w:tcW w:w="1984" w:type="dxa"/>
            <w:shd w:val="clear" w:color="auto" w:fill="auto"/>
          </w:tcPr>
          <w:p w14:paraId="4D46845A" w14:textId="676273B3" w:rsidR="00DF5250" w:rsidRPr="00966C80" w:rsidRDefault="00034AC8" w:rsidP="00DF5250">
            <w:pPr>
              <w:pStyle w:val="TableofFigures"/>
              <w:rPr>
                <w:szCs w:val="20"/>
              </w:rPr>
            </w:pPr>
            <w:r w:rsidRPr="00966C80">
              <w:rPr>
                <w:szCs w:val="20"/>
              </w:rPr>
              <w:t>Up to $25,000</w:t>
            </w:r>
            <w:r w:rsidR="00DF5250">
              <w:rPr>
                <w:szCs w:val="20"/>
              </w:rPr>
              <w:t xml:space="preserve"> annually</w:t>
            </w:r>
          </w:p>
        </w:tc>
        <w:tc>
          <w:tcPr>
            <w:tcW w:w="5812" w:type="dxa"/>
            <w:shd w:val="clear" w:color="auto" w:fill="auto"/>
          </w:tcPr>
          <w:p w14:paraId="25504571" w14:textId="2A709BFD" w:rsidR="00034AC8" w:rsidRPr="00966C80" w:rsidRDefault="00034AC8" w:rsidP="001C1A94">
            <w:pPr>
              <w:pStyle w:val="TableofFigures"/>
              <w:rPr>
                <w:szCs w:val="20"/>
              </w:rPr>
            </w:pPr>
            <w:r w:rsidRPr="00966C80">
              <w:rPr>
                <w:szCs w:val="20"/>
              </w:rPr>
              <w:t>Call for proposals every 3 years</w:t>
            </w:r>
          </w:p>
          <w:p w14:paraId="1384C43D" w14:textId="312CD974" w:rsidR="00034AC8" w:rsidRPr="00966C80" w:rsidRDefault="005B5B7B" w:rsidP="007B2496">
            <w:pPr>
              <w:pStyle w:val="TableofFigures"/>
              <w:rPr>
                <w:szCs w:val="20"/>
              </w:rPr>
            </w:pPr>
            <w:r w:rsidRPr="00966C80">
              <w:rPr>
                <w:szCs w:val="20"/>
              </w:rPr>
              <w:t xml:space="preserve">Open to Victorian </w:t>
            </w:r>
            <w:r w:rsidRPr="003E02DF">
              <w:rPr>
                <w:szCs w:val="20"/>
              </w:rPr>
              <w:t>based arts organisation</w:t>
            </w:r>
            <w:r w:rsidR="00AE1E1B" w:rsidRPr="003E02DF">
              <w:rPr>
                <w:szCs w:val="20"/>
              </w:rPr>
              <w:t>s</w:t>
            </w:r>
            <w:r w:rsidRPr="00966C80">
              <w:rPr>
                <w:szCs w:val="20"/>
              </w:rPr>
              <w:t xml:space="preserve"> delivering </w:t>
            </w:r>
            <w:r w:rsidR="007E4AB9">
              <w:rPr>
                <w:szCs w:val="20"/>
              </w:rPr>
              <w:t>an awards program</w:t>
            </w:r>
            <w:r w:rsidRPr="00966C80">
              <w:rPr>
                <w:szCs w:val="20"/>
              </w:rPr>
              <w:t xml:space="preserve"> in the municipality that </w:t>
            </w:r>
            <w:r w:rsidR="007B2496">
              <w:rPr>
                <w:szCs w:val="20"/>
              </w:rPr>
              <w:t>recognises</w:t>
            </w:r>
            <w:r w:rsidRPr="00966C80">
              <w:rPr>
                <w:szCs w:val="20"/>
              </w:rPr>
              <w:t xml:space="preserve"> local artists  </w:t>
            </w:r>
          </w:p>
        </w:tc>
      </w:tr>
    </w:tbl>
    <w:p w14:paraId="459F6A7D" w14:textId="22E30D78" w:rsidR="00034AC8" w:rsidRPr="00C160FC" w:rsidRDefault="00034AC8" w:rsidP="00034AC8">
      <w:pPr>
        <w:pStyle w:val="Heading1"/>
        <w:numPr>
          <w:ilvl w:val="0"/>
          <w:numId w:val="17"/>
        </w:numPr>
        <w:rPr>
          <w:rFonts w:hint="eastAsia"/>
        </w:rPr>
      </w:pPr>
      <w:r w:rsidRPr="00C160FC">
        <w:t xml:space="preserve">Assessment </w:t>
      </w:r>
      <w:r w:rsidR="000C4F10">
        <w:t>c</w:t>
      </w:r>
      <w:r w:rsidRPr="00C160FC">
        <w:t>riteria</w:t>
      </w:r>
      <w:r>
        <w:t xml:space="preserve"> </w:t>
      </w:r>
    </w:p>
    <w:p w14:paraId="0FC51275" w14:textId="3D94CF5A" w:rsidR="00034AC8" w:rsidRPr="00966C80" w:rsidRDefault="00034AC8" w:rsidP="00034AC8">
      <w:pPr>
        <w:rPr>
          <w:szCs w:val="20"/>
        </w:rPr>
      </w:pPr>
      <w:r w:rsidRPr="00966C80">
        <w:rPr>
          <w:szCs w:val="20"/>
        </w:rPr>
        <w:t>Applicants must address all three criteria a</w:t>
      </w:r>
      <w:r w:rsidR="00694C79">
        <w:rPr>
          <w:szCs w:val="20"/>
        </w:rPr>
        <w:t xml:space="preserve">nd as many of the </w:t>
      </w:r>
      <w:r w:rsidRPr="00966C80">
        <w:rPr>
          <w:szCs w:val="20"/>
        </w:rPr>
        <w:t xml:space="preserve">bullet points </w:t>
      </w:r>
      <w:r w:rsidR="00235973">
        <w:rPr>
          <w:szCs w:val="20"/>
        </w:rPr>
        <w:t xml:space="preserve">that are </w:t>
      </w:r>
      <w:r w:rsidRPr="00966C80">
        <w:rPr>
          <w:szCs w:val="20"/>
        </w:rPr>
        <w:t>relevant to the proposal.</w:t>
      </w:r>
    </w:p>
    <w:p w14:paraId="1661CC34" w14:textId="067A74E4" w:rsidR="00034AC8" w:rsidRPr="002A4EF1" w:rsidRDefault="00034AC8" w:rsidP="00034AC8">
      <w:pPr>
        <w:pStyle w:val="Heading3"/>
        <w:rPr>
          <w:rFonts w:hint="eastAsia"/>
        </w:rPr>
      </w:pPr>
      <w:r w:rsidRPr="002A4EF1">
        <w:t>Criteria 1: Creative excellence</w:t>
      </w:r>
    </w:p>
    <w:p w14:paraId="40E3951F" w14:textId="77777777" w:rsidR="00034AC8" w:rsidRPr="00966C80" w:rsidRDefault="00034AC8" w:rsidP="00034AC8">
      <w:pPr>
        <w:numPr>
          <w:ilvl w:val="0"/>
          <w:numId w:val="18"/>
        </w:numPr>
        <w:spacing w:after="0"/>
        <w:rPr>
          <w:szCs w:val="20"/>
        </w:rPr>
      </w:pPr>
      <w:r w:rsidRPr="00966C80">
        <w:rPr>
          <w:szCs w:val="20"/>
        </w:rPr>
        <w:t>challenging, creative ideas and ambition</w:t>
      </w:r>
    </w:p>
    <w:p w14:paraId="75DCA2DF" w14:textId="2C0186C3" w:rsidR="00034AC8" w:rsidRPr="00966C80" w:rsidRDefault="00034AC8" w:rsidP="00034AC8">
      <w:pPr>
        <w:numPr>
          <w:ilvl w:val="0"/>
          <w:numId w:val="18"/>
        </w:numPr>
        <w:spacing w:after="0"/>
        <w:rPr>
          <w:szCs w:val="20"/>
        </w:rPr>
      </w:pPr>
      <w:r w:rsidRPr="00966C80">
        <w:rPr>
          <w:szCs w:val="20"/>
        </w:rPr>
        <w:t>participation and activation within the municipality</w:t>
      </w:r>
    </w:p>
    <w:p w14:paraId="2C613255" w14:textId="77777777" w:rsidR="00034AC8" w:rsidRPr="00966C80" w:rsidRDefault="00034AC8" w:rsidP="00034AC8">
      <w:pPr>
        <w:numPr>
          <w:ilvl w:val="0"/>
          <w:numId w:val="18"/>
        </w:numPr>
        <w:spacing w:after="0"/>
        <w:rPr>
          <w:szCs w:val="20"/>
        </w:rPr>
      </w:pPr>
      <w:r w:rsidRPr="00966C80">
        <w:rPr>
          <w:szCs w:val="20"/>
        </w:rPr>
        <w:t>genuine engagement with Aboriginal and Torres Strait Islander people</w:t>
      </w:r>
    </w:p>
    <w:p w14:paraId="27D4C152" w14:textId="77777777" w:rsidR="00034AC8" w:rsidRPr="00966C80" w:rsidRDefault="00034AC8" w:rsidP="00034AC8">
      <w:pPr>
        <w:numPr>
          <w:ilvl w:val="0"/>
          <w:numId w:val="18"/>
        </w:numPr>
        <w:spacing w:after="0"/>
        <w:rPr>
          <w:szCs w:val="20"/>
        </w:rPr>
      </w:pPr>
      <w:r w:rsidRPr="00966C80">
        <w:rPr>
          <w:szCs w:val="20"/>
        </w:rPr>
        <w:t>build partnerships and new connections between organisations, artists and art forms</w:t>
      </w:r>
    </w:p>
    <w:p w14:paraId="2809237C" w14:textId="77777777" w:rsidR="00034AC8" w:rsidRPr="00966C80" w:rsidRDefault="00034AC8" w:rsidP="00034AC8">
      <w:pPr>
        <w:numPr>
          <w:ilvl w:val="0"/>
          <w:numId w:val="18"/>
        </w:numPr>
        <w:spacing w:after="0"/>
        <w:rPr>
          <w:szCs w:val="20"/>
        </w:rPr>
      </w:pPr>
      <w:r w:rsidRPr="00966C80">
        <w:rPr>
          <w:szCs w:val="20"/>
        </w:rPr>
        <w:t>contribute to the creative transformation of Melbourne</w:t>
      </w:r>
    </w:p>
    <w:p w14:paraId="01A30479" w14:textId="530615C6" w:rsidR="000C4F10" w:rsidRPr="00966C80" w:rsidRDefault="00034AC8" w:rsidP="00034AC8">
      <w:pPr>
        <w:numPr>
          <w:ilvl w:val="0"/>
          <w:numId w:val="18"/>
        </w:numPr>
        <w:spacing w:after="0"/>
        <w:rPr>
          <w:szCs w:val="20"/>
        </w:rPr>
      </w:pPr>
      <w:proofErr w:type="gramStart"/>
      <w:r w:rsidRPr="00966C80">
        <w:rPr>
          <w:szCs w:val="20"/>
        </w:rPr>
        <w:t>quality</w:t>
      </w:r>
      <w:proofErr w:type="gramEnd"/>
      <w:r w:rsidRPr="00966C80">
        <w:rPr>
          <w:szCs w:val="20"/>
        </w:rPr>
        <w:t xml:space="preserve"> and ambition of artistic vision</w:t>
      </w:r>
      <w:r w:rsidR="00786B88">
        <w:rPr>
          <w:szCs w:val="20"/>
        </w:rPr>
        <w:t>.</w:t>
      </w:r>
    </w:p>
    <w:p w14:paraId="65EF40D0" w14:textId="77777777" w:rsidR="00034AC8" w:rsidRPr="00034AC8" w:rsidRDefault="00034AC8" w:rsidP="00034AC8">
      <w:pPr>
        <w:pStyle w:val="Heading3"/>
        <w:rPr>
          <w:rFonts w:hint="eastAsia"/>
          <w:b/>
        </w:rPr>
      </w:pPr>
      <w:r w:rsidRPr="002A4EF1">
        <w:t>Criteria 2: Access, inclusion and equity</w:t>
      </w:r>
    </w:p>
    <w:p w14:paraId="269667DF" w14:textId="77777777" w:rsidR="00034AC8" w:rsidRPr="00966C80" w:rsidRDefault="00034AC8" w:rsidP="00531AC0">
      <w:pPr>
        <w:numPr>
          <w:ilvl w:val="0"/>
          <w:numId w:val="18"/>
        </w:numPr>
        <w:spacing w:after="0"/>
        <w:ind w:left="714" w:hanging="357"/>
        <w:rPr>
          <w:szCs w:val="20"/>
        </w:rPr>
      </w:pPr>
      <w:r w:rsidRPr="00966C80">
        <w:rPr>
          <w:szCs w:val="20"/>
        </w:rPr>
        <w:t>embrace diversity of abilities, backgrounds, cultures, ages, genders and sexualities</w:t>
      </w:r>
    </w:p>
    <w:p w14:paraId="731BA210" w14:textId="77777777" w:rsidR="00034AC8" w:rsidRPr="00966C80" w:rsidRDefault="00034AC8" w:rsidP="00531AC0">
      <w:pPr>
        <w:numPr>
          <w:ilvl w:val="0"/>
          <w:numId w:val="18"/>
        </w:numPr>
        <w:spacing w:after="0"/>
        <w:ind w:left="714" w:hanging="357"/>
        <w:rPr>
          <w:szCs w:val="20"/>
        </w:rPr>
      </w:pPr>
      <w:r w:rsidRPr="00966C80">
        <w:rPr>
          <w:szCs w:val="20"/>
        </w:rPr>
        <w:t xml:space="preserve">appeal to new or underrepresented audiences </w:t>
      </w:r>
    </w:p>
    <w:p w14:paraId="062527AB" w14:textId="77777777" w:rsidR="00034AC8" w:rsidRPr="00966C80" w:rsidRDefault="00034AC8" w:rsidP="00531AC0">
      <w:pPr>
        <w:numPr>
          <w:ilvl w:val="0"/>
          <w:numId w:val="18"/>
        </w:numPr>
        <w:spacing w:after="0"/>
        <w:ind w:left="714" w:hanging="357"/>
        <w:rPr>
          <w:szCs w:val="20"/>
        </w:rPr>
      </w:pPr>
      <w:r w:rsidRPr="00966C80">
        <w:rPr>
          <w:szCs w:val="20"/>
        </w:rPr>
        <w:t xml:space="preserve">low cost or free to the public </w:t>
      </w:r>
    </w:p>
    <w:p w14:paraId="5A6F754E" w14:textId="450B0686" w:rsidR="00034AC8" w:rsidRPr="00966C80" w:rsidRDefault="00034AC8" w:rsidP="00531AC0">
      <w:pPr>
        <w:numPr>
          <w:ilvl w:val="0"/>
          <w:numId w:val="18"/>
        </w:numPr>
        <w:spacing w:after="0"/>
        <w:ind w:left="714" w:hanging="357"/>
        <w:rPr>
          <w:szCs w:val="20"/>
        </w:rPr>
      </w:pPr>
      <w:proofErr w:type="gramStart"/>
      <w:r w:rsidRPr="00966C80">
        <w:rPr>
          <w:szCs w:val="20"/>
        </w:rPr>
        <w:t>occur</w:t>
      </w:r>
      <w:proofErr w:type="gramEnd"/>
      <w:r w:rsidRPr="00966C80">
        <w:rPr>
          <w:szCs w:val="20"/>
        </w:rPr>
        <w:t xml:space="preserve"> in new or unexpected places or at different times of the day or night</w:t>
      </w:r>
      <w:r w:rsidR="00786B88">
        <w:rPr>
          <w:szCs w:val="20"/>
        </w:rPr>
        <w:t>.</w:t>
      </w:r>
    </w:p>
    <w:p w14:paraId="00F4154B" w14:textId="77777777" w:rsidR="00034AC8" w:rsidRPr="002A4EF1" w:rsidRDefault="00034AC8" w:rsidP="00034AC8">
      <w:pPr>
        <w:pStyle w:val="Heading3"/>
        <w:rPr>
          <w:rFonts w:hint="eastAsia"/>
        </w:rPr>
      </w:pPr>
      <w:r w:rsidRPr="002A4EF1">
        <w:lastRenderedPageBreak/>
        <w:t>Criteria 3: Governance and viability</w:t>
      </w:r>
    </w:p>
    <w:p w14:paraId="2EE19D90" w14:textId="77777777" w:rsidR="00034AC8" w:rsidRPr="00966C80" w:rsidRDefault="00034AC8" w:rsidP="00EC73C4">
      <w:pPr>
        <w:numPr>
          <w:ilvl w:val="0"/>
          <w:numId w:val="18"/>
        </w:numPr>
        <w:spacing w:after="0"/>
        <w:ind w:left="714" w:hanging="357"/>
        <w:rPr>
          <w:szCs w:val="20"/>
        </w:rPr>
      </w:pPr>
      <w:r w:rsidRPr="00966C80">
        <w:rPr>
          <w:szCs w:val="20"/>
        </w:rPr>
        <w:t>experience and capability of the people leading and governing your organisation</w:t>
      </w:r>
    </w:p>
    <w:p w14:paraId="20666373" w14:textId="77777777" w:rsidR="00034AC8" w:rsidRPr="00966C80" w:rsidRDefault="00034AC8" w:rsidP="00EC73C4">
      <w:pPr>
        <w:numPr>
          <w:ilvl w:val="0"/>
          <w:numId w:val="18"/>
        </w:numPr>
        <w:spacing w:after="0"/>
        <w:ind w:left="714" w:hanging="357"/>
        <w:rPr>
          <w:szCs w:val="20"/>
        </w:rPr>
      </w:pPr>
      <w:r w:rsidRPr="00966C80">
        <w:rPr>
          <w:szCs w:val="20"/>
        </w:rPr>
        <w:t>business or strategic plan that covers some or all of the funding period</w:t>
      </w:r>
    </w:p>
    <w:p w14:paraId="1301F25B" w14:textId="77777777" w:rsidR="00034AC8" w:rsidRPr="00966C80" w:rsidRDefault="00034AC8" w:rsidP="00EC73C4">
      <w:pPr>
        <w:numPr>
          <w:ilvl w:val="0"/>
          <w:numId w:val="18"/>
        </w:numPr>
        <w:spacing w:after="0"/>
        <w:ind w:left="714" w:hanging="357"/>
        <w:rPr>
          <w:szCs w:val="20"/>
        </w:rPr>
      </w:pPr>
      <w:r w:rsidRPr="00966C80">
        <w:rPr>
          <w:szCs w:val="20"/>
        </w:rPr>
        <w:t>how your business or strategic plan achieves your vision</w:t>
      </w:r>
    </w:p>
    <w:p w14:paraId="4CBB5866" w14:textId="77777777" w:rsidR="00034AC8" w:rsidRPr="00966C80" w:rsidRDefault="00034AC8" w:rsidP="00EC73C4">
      <w:pPr>
        <w:numPr>
          <w:ilvl w:val="0"/>
          <w:numId w:val="18"/>
        </w:numPr>
        <w:spacing w:after="0"/>
        <w:ind w:left="714" w:hanging="357"/>
        <w:rPr>
          <w:szCs w:val="20"/>
        </w:rPr>
      </w:pPr>
      <w:r w:rsidRPr="00966C80">
        <w:rPr>
          <w:szCs w:val="20"/>
        </w:rPr>
        <w:t>observance of cultural protocols (such as Traditional Owner engagement)</w:t>
      </w:r>
    </w:p>
    <w:p w14:paraId="4A3B2040" w14:textId="3BBFB838" w:rsidR="00034AC8" w:rsidRPr="00966C80" w:rsidRDefault="00034AC8" w:rsidP="00EC73C4">
      <w:pPr>
        <w:numPr>
          <w:ilvl w:val="0"/>
          <w:numId w:val="18"/>
        </w:numPr>
        <w:spacing w:after="0"/>
        <w:ind w:left="714" w:hanging="357"/>
        <w:rPr>
          <w:szCs w:val="20"/>
        </w:rPr>
      </w:pPr>
      <w:proofErr w:type="gramStart"/>
      <w:r w:rsidRPr="00966C80">
        <w:rPr>
          <w:szCs w:val="20"/>
        </w:rPr>
        <w:t>financial</w:t>
      </w:r>
      <w:proofErr w:type="gramEnd"/>
      <w:r w:rsidRPr="00966C80">
        <w:rPr>
          <w:szCs w:val="20"/>
        </w:rPr>
        <w:t xml:space="preserve"> viability of your organisation</w:t>
      </w:r>
      <w:r w:rsidR="00786B88">
        <w:rPr>
          <w:szCs w:val="20"/>
        </w:rPr>
        <w:t>.</w:t>
      </w:r>
    </w:p>
    <w:p w14:paraId="59511BA7" w14:textId="77777777" w:rsidR="00034AC8" w:rsidRPr="00771E11" w:rsidRDefault="00034AC8" w:rsidP="00034AC8">
      <w:pPr>
        <w:pStyle w:val="Heading1"/>
        <w:numPr>
          <w:ilvl w:val="0"/>
          <w:numId w:val="17"/>
        </w:numPr>
        <w:rPr>
          <w:rFonts w:hint="eastAsia"/>
        </w:rPr>
      </w:pPr>
      <w:bookmarkStart w:id="8" w:name="_Toc22312351"/>
      <w:r>
        <w:t>Application p</w:t>
      </w:r>
      <w:r w:rsidRPr="00771E11">
        <w:t>rocess</w:t>
      </w:r>
      <w:bookmarkEnd w:id="8"/>
    </w:p>
    <w:p w14:paraId="179EBECC" w14:textId="6B2F0211" w:rsidR="00034AC8" w:rsidRPr="00966C80" w:rsidRDefault="00034AC8" w:rsidP="00EC73C4">
      <w:pPr>
        <w:pStyle w:val="ListBullet"/>
        <w:spacing w:after="0"/>
        <w:ind w:left="714"/>
        <w:rPr>
          <w:szCs w:val="20"/>
        </w:rPr>
      </w:pPr>
      <w:r w:rsidRPr="00966C80">
        <w:rPr>
          <w:szCs w:val="20"/>
        </w:rPr>
        <w:t>Complete and submit your a</w:t>
      </w:r>
      <w:r w:rsidR="00BE3D42">
        <w:rPr>
          <w:szCs w:val="20"/>
        </w:rPr>
        <w:t xml:space="preserve">pplication via </w:t>
      </w:r>
      <w:hyperlink r:id="rId12" w:history="1">
        <w:r w:rsidR="00BE3D42" w:rsidRPr="005E44C0">
          <w:rPr>
            <w:rStyle w:val="Hyperlink"/>
            <w:szCs w:val="20"/>
          </w:rPr>
          <w:t>SmartyGrants</w:t>
        </w:r>
      </w:hyperlink>
      <w:r w:rsidR="005E44C0">
        <w:rPr>
          <w:rStyle w:val="FootnoteReference"/>
          <w:szCs w:val="20"/>
        </w:rPr>
        <w:footnoteReference w:id="4"/>
      </w:r>
      <w:r w:rsidR="00BE3D42">
        <w:rPr>
          <w:szCs w:val="20"/>
        </w:rPr>
        <w:t xml:space="preserve"> by 11.59</w:t>
      </w:r>
      <w:r w:rsidRPr="00966C80">
        <w:rPr>
          <w:szCs w:val="20"/>
        </w:rPr>
        <w:t xml:space="preserve">pm on </w:t>
      </w:r>
      <w:r w:rsidR="00BE3D42">
        <w:rPr>
          <w:szCs w:val="20"/>
        </w:rPr>
        <w:t>2 June</w:t>
      </w:r>
      <w:r w:rsidR="00786B88">
        <w:rPr>
          <w:szCs w:val="20"/>
        </w:rPr>
        <w:t xml:space="preserve"> 2024.</w:t>
      </w:r>
    </w:p>
    <w:p w14:paraId="400A4584" w14:textId="5DA81699" w:rsidR="00034AC8" w:rsidRPr="00966C80" w:rsidRDefault="00034AC8" w:rsidP="00EC73C4">
      <w:pPr>
        <w:pStyle w:val="ListBullet"/>
        <w:spacing w:after="0"/>
        <w:ind w:left="714"/>
        <w:rPr>
          <w:szCs w:val="20"/>
        </w:rPr>
      </w:pPr>
      <w:r w:rsidRPr="00966C80">
        <w:rPr>
          <w:szCs w:val="20"/>
        </w:rPr>
        <w:t>Applications are assessed by a panel of external experts</w:t>
      </w:r>
      <w:r w:rsidR="00786B88">
        <w:rPr>
          <w:szCs w:val="20"/>
        </w:rPr>
        <w:t>.</w:t>
      </w:r>
    </w:p>
    <w:p w14:paraId="6519B5A3" w14:textId="1477D083" w:rsidR="00034AC8" w:rsidRPr="00966C80" w:rsidRDefault="00034AC8" w:rsidP="00EC73C4">
      <w:pPr>
        <w:pStyle w:val="ListBullet"/>
        <w:spacing w:after="0"/>
        <w:ind w:left="714"/>
        <w:rPr>
          <w:szCs w:val="20"/>
        </w:rPr>
      </w:pPr>
      <w:r w:rsidRPr="00966C80">
        <w:rPr>
          <w:szCs w:val="20"/>
        </w:rPr>
        <w:t>Recommendations are presented to Council for approval</w:t>
      </w:r>
      <w:r w:rsidR="00786B88">
        <w:rPr>
          <w:szCs w:val="20"/>
        </w:rPr>
        <w:t>.</w:t>
      </w:r>
    </w:p>
    <w:p w14:paraId="265A2281" w14:textId="5386FEC4" w:rsidR="00034AC8" w:rsidRPr="00966C80" w:rsidRDefault="00034AC8" w:rsidP="00EC73C4">
      <w:pPr>
        <w:pStyle w:val="ListBullet"/>
        <w:spacing w:after="0"/>
        <w:ind w:left="714"/>
        <w:rPr>
          <w:szCs w:val="20"/>
        </w:rPr>
      </w:pPr>
      <w:r w:rsidRPr="00966C80">
        <w:rPr>
          <w:szCs w:val="20"/>
        </w:rPr>
        <w:t xml:space="preserve">Applicants </w:t>
      </w:r>
      <w:r w:rsidR="00BE3D42">
        <w:rPr>
          <w:szCs w:val="20"/>
        </w:rPr>
        <w:t>will be</w:t>
      </w:r>
      <w:r w:rsidRPr="00966C80">
        <w:rPr>
          <w:szCs w:val="20"/>
        </w:rPr>
        <w:t xml:space="preserve"> notified of </w:t>
      </w:r>
      <w:r w:rsidR="00BE3D42">
        <w:rPr>
          <w:szCs w:val="20"/>
        </w:rPr>
        <w:t xml:space="preserve">the </w:t>
      </w:r>
      <w:r w:rsidRPr="00966C80">
        <w:rPr>
          <w:szCs w:val="20"/>
        </w:rPr>
        <w:t xml:space="preserve">outcome in </w:t>
      </w:r>
      <w:r w:rsidR="00BE3D42">
        <w:rPr>
          <w:szCs w:val="20"/>
        </w:rPr>
        <w:t>September</w:t>
      </w:r>
      <w:r w:rsidRPr="00966C80">
        <w:rPr>
          <w:szCs w:val="20"/>
        </w:rPr>
        <w:t xml:space="preserve"> 2024 </w:t>
      </w:r>
      <w:r w:rsidR="00BE3D42">
        <w:rPr>
          <w:szCs w:val="20"/>
        </w:rPr>
        <w:t>subject to Council approval</w:t>
      </w:r>
      <w:r w:rsidR="00786B88">
        <w:rPr>
          <w:szCs w:val="20"/>
        </w:rPr>
        <w:t>.</w:t>
      </w:r>
    </w:p>
    <w:p w14:paraId="6AEA851A" w14:textId="77777777" w:rsidR="00034AC8" w:rsidRDefault="00034AC8" w:rsidP="00034AC8">
      <w:pPr>
        <w:pStyle w:val="Heading1"/>
        <w:ind w:left="426" w:hanging="426"/>
        <w:rPr>
          <w:rFonts w:hint="eastAsia"/>
        </w:rPr>
      </w:pPr>
      <w:bookmarkStart w:id="9" w:name="_Toc435027119"/>
      <w:bookmarkStart w:id="10" w:name="_Toc452380963"/>
      <w:bookmarkStart w:id="11" w:name="_Toc22312352"/>
      <w:r w:rsidRPr="002F0BA6">
        <w:t>5.</w:t>
      </w:r>
      <w:r>
        <w:tab/>
      </w:r>
      <w:bookmarkEnd w:id="9"/>
      <w:bookmarkEnd w:id="10"/>
      <w:bookmarkEnd w:id="11"/>
      <w:r>
        <w:t xml:space="preserve">Eligibility </w:t>
      </w:r>
    </w:p>
    <w:p w14:paraId="42013945" w14:textId="77777777" w:rsidR="00034AC8" w:rsidRPr="00966C80" w:rsidRDefault="00034AC8" w:rsidP="00EC73C4">
      <w:pPr>
        <w:spacing w:after="0"/>
        <w:rPr>
          <w:b/>
          <w:szCs w:val="20"/>
        </w:rPr>
      </w:pPr>
      <w:r w:rsidRPr="00966C80">
        <w:rPr>
          <w:szCs w:val="20"/>
        </w:rPr>
        <w:t>Applicants must:</w:t>
      </w:r>
    </w:p>
    <w:p w14:paraId="43FEEB9A" w14:textId="4790D4AC" w:rsidR="00034AC8" w:rsidRPr="00966C80" w:rsidRDefault="00786B88" w:rsidP="00966C80">
      <w:pPr>
        <w:pStyle w:val="ListBullet"/>
        <w:spacing w:after="0"/>
        <w:ind w:left="714"/>
        <w:rPr>
          <w:szCs w:val="20"/>
        </w:rPr>
      </w:pPr>
      <w:r>
        <w:rPr>
          <w:szCs w:val="20"/>
        </w:rPr>
        <w:t>s</w:t>
      </w:r>
      <w:r w:rsidR="00895CCF" w:rsidRPr="00966C80">
        <w:rPr>
          <w:szCs w:val="20"/>
        </w:rPr>
        <w:t>ubmit only one application</w:t>
      </w:r>
    </w:p>
    <w:p w14:paraId="25A13D20" w14:textId="06DE1DBE" w:rsidR="00034AC8" w:rsidRPr="00966C80" w:rsidRDefault="00786B88" w:rsidP="00EC73C4">
      <w:pPr>
        <w:pStyle w:val="ListBullet"/>
        <w:spacing w:after="0"/>
        <w:ind w:left="714"/>
        <w:rPr>
          <w:szCs w:val="20"/>
        </w:rPr>
      </w:pPr>
      <w:r>
        <w:rPr>
          <w:szCs w:val="20"/>
        </w:rPr>
        <w:t>p</w:t>
      </w:r>
      <w:r w:rsidR="00034AC8" w:rsidRPr="00966C80">
        <w:rPr>
          <w:szCs w:val="20"/>
        </w:rPr>
        <w:t xml:space="preserve">ropose activities that have public outcomes </w:t>
      </w:r>
      <w:r w:rsidR="00466429" w:rsidRPr="00966C80">
        <w:rPr>
          <w:szCs w:val="20"/>
        </w:rPr>
        <w:t>annually</w:t>
      </w:r>
      <w:r w:rsidR="00966C80">
        <w:rPr>
          <w:szCs w:val="20"/>
        </w:rPr>
        <w:t xml:space="preserve"> and are</w:t>
      </w:r>
      <w:r w:rsidR="00466429" w:rsidRPr="00966C80">
        <w:rPr>
          <w:szCs w:val="20"/>
        </w:rPr>
        <w:t xml:space="preserve"> </w:t>
      </w:r>
      <w:r w:rsidR="00034AC8" w:rsidRPr="00966C80">
        <w:rPr>
          <w:szCs w:val="20"/>
        </w:rPr>
        <w:t xml:space="preserve">located within the City of Melbourne </w:t>
      </w:r>
      <w:hyperlink r:id="rId13" w:history="1">
        <w:r w:rsidR="00034AC8" w:rsidRPr="00966C80">
          <w:rPr>
            <w:rStyle w:val="Hyperlink"/>
            <w:rFonts w:cs="Arial"/>
            <w:szCs w:val="20"/>
          </w:rPr>
          <w:t>municipality</w:t>
        </w:r>
      </w:hyperlink>
      <w:bookmarkStart w:id="12" w:name="_Ref22050512"/>
      <w:r w:rsidR="00034AC8" w:rsidRPr="00966C80">
        <w:rPr>
          <w:rStyle w:val="FootnoteReference"/>
          <w:rFonts w:cs="Arial"/>
          <w:color w:val="0000FF"/>
          <w:szCs w:val="20"/>
          <w:u w:val="single"/>
        </w:rPr>
        <w:footnoteReference w:id="5"/>
      </w:r>
      <w:bookmarkEnd w:id="12"/>
      <w:r w:rsidR="00034AC8" w:rsidRPr="00966C80">
        <w:rPr>
          <w:szCs w:val="20"/>
        </w:rPr>
        <w:t xml:space="preserve"> during the term of the funding</w:t>
      </w:r>
    </w:p>
    <w:p w14:paraId="26A4C88B" w14:textId="40D9CB4D" w:rsidR="00034AC8" w:rsidRPr="00966C80" w:rsidRDefault="00786B88" w:rsidP="00EC73C4">
      <w:pPr>
        <w:pStyle w:val="ListBullet"/>
        <w:spacing w:after="0"/>
        <w:ind w:left="714"/>
        <w:rPr>
          <w:szCs w:val="20"/>
        </w:rPr>
      </w:pPr>
      <w:r>
        <w:rPr>
          <w:szCs w:val="20"/>
        </w:rPr>
        <w:t>b</w:t>
      </w:r>
      <w:r w:rsidR="00034AC8" w:rsidRPr="00966C80">
        <w:rPr>
          <w:szCs w:val="20"/>
        </w:rPr>
        <w:t>e a not-for-profit independent</w:t>
      </w:r>
      <w:r w:rsidR="00237019">
        <w:rPr>
          <w:szCs w:val="20"/>
        </w:rPr>
        <w:t xml:space="preserve"> </w:t>
      </w:r>
      <w:r w:rsidR="00034AC8" w:rsidRPr="00966C80">
        <w:rPr>
          <w:szCs w:val="20"/>
        </w:rPr>
        <w:t>/</w:t>
      </w:r>
      <w:r w:rsidR="00237019">
        <w:rPr>
          <w:szCs w:val="20"/>
        </w:rPr>
        <w:t xml:space="preserve"> </w:t>
      </w:r>
      <w:r w:rsidR="00034AC8" w:rsidRPr="00966C80">
        <w:rPr>
          <w:szCs w:val="20"/>
        </w:rPr>
        <w:t>non-</w:t>
      </w:r>
      <w:r w:rsidR="00034AC8" w:rsidRPr="003E02DF">
        <w:rPr>
          <w:szCs w:val="20"/>
        </w:rPr>
        <w:t xml:space="preserve">government arts </w:t>
      </w:r>
      <w:r w:rsidR="00322F2F">
        <w:rPr>
          <w:szCs w:val="20"/>
        </w:rPr>
        <w:t>organis</w:t>
      </w:r>
      <w:r>
        <w:rPr>
          <w:szCs w:val="20"/>
        </w:rPr>
        <w:t>ation</w:t>
      </w:r>
    </w:p>
    <w:p w14:paraId="1AAE4926" w14:textId="38CD2B02" w:rsidR="00034AC8" w:rsidRPr="00966C80" w:rsidRDefault="00786B88" w:rsidP="00EC73C4">
      <w:pPr>
        <w:pStyle w:val="ListBullet"/>
        <w:spacing w:after="0"/>
        <w:ind w:left="714"/>
        <w:rPr>
          <w:szCs w:val="20"/>
        </w:rPr>
      </w:pPr>
      <w:r>
        <w:rPr>
          <w:szCs w:val="20"/>
        </w:rPr>
        <w:t>h</w:t>
      </w:r>
      <w:r w:rsidR="00034AC8" w:rsidRPr="00966C80">
        <w:rPr>
          <w:szCs w:val="20"/>
        </w:rPr>
        <w:t>ave a registered Australian Business Number (ABN)</w:t>
      </w:r>
    </w:p>
    <w:p w14:paraId="2344BE0C" w14:textId="32277BF0" w:rsidR="00995097" w:rsidRDefault="00786B88" w:rsidP="00EC73C4">
      <w:pPr>
        <w:pStyle w:val="ListBullet"/>
        <w:spacing w:after="0"/>
        <w:ind w:left="714"/>
        <w:rPr>
          <w:szCs w:val="20"/>
        </w:rPr>
      </w:pPr>
      <w:r>
        <w:rPr>
          <w:szCs w:val="20"/>
        </w:rPr>
        <w:t>h</w:t>
      </w:r>
      <w:r w:rsidR="00034AC8" w:rsidRPr="00966C80">
        <w:rPr>
          <w:szCs w:val="20"/>
        </w:rPr>
        <w:t>ave documented evidence of</w:t>
      </w:r>
      <w:r w:rsidR="00995097">
        <w:rPr>
          <w:szCs w:val="20"/>
        </w:rPr>
        <w:t xml:space="preserve"> an appropriate legal structure and</w:t>
      </w:r>
      <w:r w:rsidR="00034AC8" w:rsidRPr="00966C80">
        <w:rPr>
          <w:szCs w:val="20"/>
        </w:rPr>
        <w:t xml:space="preserve"> an Australian registered company, business cooperative or partnership </w:t>
      </w:r>
    </w:p>
    <w:p w14:paraId="2B3909AD" w14:textId="078A8679" w:rsidR="00034AC8" w:rsidRPr="00966C80" w:rsidRDefault="00995097" w:rsidP="00EC73C4">
      <w:pPr>
        <w:pStyle w:val="ListBullet"/>
        <w:spacing w:after="0"/>
        <w:ind w:left="714"/>
        <w:rPr>
          <w:szCs w:val="20"/>
        </w:rPr>
      </w:pPr>
      <w:proofErr w:type="gramStart"/>
      <w:r>
        <w:rPr>
          <w:szCs w:val="20"/>
        </w:rPr>
        <w:t>have</w:t>
      </w:r>
      <w:proofErr w:type="gramEnd"/>
      <w:r>
        <w:rPr>
          <w:szCs w:val="20"/>
        </w:rPr>
        <w:t xml:space="preserve"> </w:t>
      </w:r>
      <w:r w:rsidR="00034AC8" w:rsidRPr="00966C80">
        <w:rPr>
          <w:szCs w:val="20"/>
        </w:rPr>
        <w:t>current public liability and professional indemnity insurance policies</w:t>
      </w:r>
      <w:r w:rsidR="00786B88">
        <w:rPr>
          <w:szCs w:val="20"/>
        </w:rPr>
        <w:t>.</w:t>
      </w:r>
    </w:p>
    <w:p w14:paraId="463507A4" w14:textId="77777777" w:rsidR="00034AC8" w:rsidRPr="00AE1D11" w:rsidRDefault="00034AC8" w:rsidP="00034AC8">
      <w:pPr>
        <w:pStyle w:val="Heading1"/>
        <w:ind w:left="426" w:hanging="426"/>
        <w:rPr>
          <w:rFonts w:hint="eastAsia"/>
        </w:rPr>
      </w:pPr>
      <w:r>
        <w:t>6.</w:t>
      </w:r>
      <w:r>
        <w:tab/>
        <w:t xml:space="preserve">Ineligibility </w:t>
      </w:r>
    </w:p>
    <w:p w14:paraId="7B72F797" w14:textId="3EEF2A97" w:rsidR="00034AC8" w:rsidRPr="00966C80" w:rsidRDefault="00034AC8" w:rsidP="00531AC0">
      <w:pPr>
        <w:spacing w:after="0"/>
        <w:rPr>
          <w:b/>
          <w:szCs w:val="20"/>
        </w:rPr>
      </w:pPr>
      <w:r w:rsidRPr="00966C80">
        <w:rPr>
          <w:szCs w:val="20"/>
        </w:rPr>
        <w:t xml:space="preserve">The program does not support: </w:t>
      </w:r>
    </w:p>
    <w:p w14:paraId="049153F8" w14:textId="42F77468" w:rsidR="00034AC8" w:rsidRPr="00966C80" w:rsidRDefault="00786B88" w:rsidP="000F3B1F">
      <w:pPr>
        <w:pStyle w:val="ListBullet"/>
        <w:spacing w:after="0"/>
        <w:ind w:left="714"/>
        <w:rPr>
          <w:szCs w:val="20"/>
        </w:rPr>
      </w:pPr>
      <w:r>
        <w:rPr>
          <w:szCs w:val="20"/>
        </w:rPr>
        <w:t>a</w:t>
      </w:r>
      <w:r w:rsidR="00034AC8" w:rsidRPr="00966C80">
        <w:rPr>
          <w:szCs w:val="20"/>
        </w:rPr>
        <w:t>pplications from individual artists</w:t>
      </w:r>
    </w:p>
    <w:p w14:paraId="1D004381" w14:textId="2FBB09BC" w:rsidR="00D72756" w:rsidRPr="00966C80" w:rsidRDefault="00786B88" w:rsidP="00D72756">
      <w:pPr>
        <w:pStyle w:val="ListBullet"/>
        <w:spacing w:after="0"/>
        <w:ind w:left="714"/>
        <w:rPr>
          <w:szCs w:val="20"/>
        </w:rPr>
      </w:pPr>
      <w:r>
        <w:rPr>
          <w:szCs w:val="20"/>
        </w:rPr>
        <w:t>a</w:t>
      </w:r>
      <w:r w:rsidR="00D72756" w:rsidRPr="00966C80">
        <w:rPr>
          <w:szCs w:val="20"/>
        </w:rPr>
        <w:t xml:space="preserve">ctivities that do not involve or benefit practicing artists, arts workers or audiences </w:t>
      </w:r>
    </w:p>
    <w:p w14:paraId="564F0B2A" w14:textId="73DA4B27" w:rsidR="00034AC8" w:rsidRPr="00966C80" w:rsidRDefault="00786B88" w:rsidP="00531AC0">
      <w:pPr>
        <w:pStyle w:val="ListBullet"/>
        <w:spacing w:after="0"/>
        <w:ind w:left="714"/>
        <w:rPr>
          <w:szCs w:val="20"/>
        </w:rPr>
      </w:pPr>
      <w:r>
        <w:rPr>
          <w:szCs w:val="20"/>
        </w:rPr>
        <w:t>a</w:t>
      </w:r>
      <w:r w:rsidR="00034AC8" w:rsidRPr="00966C80">
        <w:rPr>
          <w:szCs w:val="20"/>
        </w:rPr>
        <w:t xml:space="preserve">ctivities taking place outside the </w:t>
      </w:r>
      <w:r w:rsidR="00D72756" w:rsidRPr="00966C80">
        <w:rPr>
          <w:szCs w:val="20"/>
        </w:rPr>
        <w:t>municipality</w:t>
      </w:r>
    </w:p>
    <w:p w14:paraId="52F7C9F6" w14:textId="1CDF9D44" w:rsidR="00EC73C4" w:rsidRPr="003972D9" w:rsidRDefault="00C85B66" w:rsidP="00531AC0">
      <w:pPr>
        <w:pStyle w:val="ListBullet"/>
        <w:spacing w:after="0"/>
        <w:ind w:left="714"/>
        <w:rPr>
          <w:szCs w:val="20"/>
        </w:rPr>
      </w:pPr>
      <w:r>
        <w:rPr>
          <w:szCs w:val="20"/>
        </w:rPr>
        <w:t>c</w:t>
      </w:r>
      <w:r w:rsidR="00995097">
        <w:rPr>
          <w:szCs w:val="20"/>
        </w:rPr>
        <w:t>reative</w:t>
      </w:r>
      <w:r w:rsidR="00237019">
        <w:rPr>
          <w:szCs w:val="20"/>
        </w:rPr>
        <w:t xml:space="preserve"> </w:t>
      </w:r>
      <w:r w:rsidR="00995097">
        <w:rPr>
          <w:szCs w:val="20"/>
        </w:rPr>
        <w:t>/</w:t>
      </w:r>
      <w:r w:rsidR="00237019">
        <w:rPr>
          <w:szCs w:val="20"/>
        </w:rPr>
        <w:t xml:space="preserve"> </w:t>
      </w:r>
      <w:r w:rsidR="00995097">
        <w:rPr>
          <w:szCs w:val="20"/>
        </w:rPr>
        <w:t xml:space="preserve">artistic </w:t>
      </w:r>
      <w:r w:rsidR="00786B88">
        <w:rPr>
          <w:szCs w:val="20"/>
        </w:rPr>
        <w:t>d</w:t>
      </w:r>
      <w:r w:rsidR="00235973">
        <w:rPr>
          <w:szCs w:val="20"/>
        </w:rPr>
        <w:t>evelopment</w:t>
      </w:r>
    </w:p>
    <w:p w14:paraId="316C1B55" w14:textId="4439ED45" w:rsidR="00034AC8" w:rsidRPr="00966C80" w:rsidRDefault="00786B88" w:rsidP="000F3B1F">
      <w:pPr>
        <w:pStyle w:val="ListBullet"/>
        <w:spacing w:after="0"/>
        <w:ind w:left="714"/>
        <w:rPr>
          <w:szCs w:val="20"/>
        </w:rPr>
      </w:pPr>
      <w:r>
        <w:rPr>
          <w:szCs w:val="20"/>
        </w:rPr>
        <w:t>a</w:t>
      </w:r>
      <w:r w:rsidR="00034AC8" w:rsidRPr="00966C80">
        <w:rPr>
          <w:szCs w:val="20"/>
        </w:rPr>
        <w:t>ctivities that are currently funded by another City of Melbourne grant, sponsorship or</w:t>
      </w:r>
      <w:r w:rsidR="00A455AF">
        <w:rPr>
          <w:szCs w:val="20"/>
        </w:rPr>
        <w:t xml:space="preserve"> expression of interest program</w:t>
      </w:r>
    </w:p>
    <w:p w14:paraId="42195552" w14:textId="4B6BEBBE" w:rsidR="00EB578E" w:rsidRPr="00966C80" w:rsidRDefault="00786B88" w:rsidP="00EB578E">
      <w:pPr>
        <w:pStyle w:val="ListBullet"/>
        <w:spacing w:after="0"/>
        <w:ind w:left="714"/>
        <w:rPr>
          <w:szCs w:val="20"/>
        </w:rPr>
      </w:pPr>
      <w:r>
        <w:rPr>
          <w:szCs w:val="20"/>
        </w:rPr>
        <w:t>c</w:t>
      </w:r>
      <w:r w:rsidR="00F9169B">
        <w:rPr>
          <w:szCs w:val="20"/>
        </w:rPr>
        <w:t xml:space="preserve">ore </w:t>
      </w:r>
      <w:r w:rsidR="00C005D1">
        <w:rPr>
          <w:szCs w:val="20"/>
        </w:rPr>
        <w:t xml:space="preserve">organizational </w:t>
      </w:r>
      <w:r w:rsidR="00F9169B">
        <w:rPr>
          <w:szCs w:val="20"/>
        </w:rPr>
        <w:t>/</w:t>
      </w:r>
      <w:r w:rsidR="00C005D1">
        <w:rPr>
          <w:szCs w:val="20"/>
        </w:rPr>
        <w:t xml:space="preserve"> </w:t>
      </w:r>
      <w:r w:rsidR="00EB578E" w:rsidRPr="00966C80">
        <w:rPr>
          <w:szCs w:val="20"/>
        </w:rPr>
        <w:t>operational funding</w:t>
      </w:r>
    </w:p>
    <w:p w14:paraId="60EAF57E" w14:textId="3E56C206" w:rsidR="00EB578E" w:rsidRPr="00966C80" w:rsidRDefault="00786B88" w:rsidP="00EB578E">
      <w:pPr>
        <w:pStyle w:val="ListBullet"/>
        <w:spacing w:after="0"/>
        <w:ind w:left="714"/>
        <w:rPr>
          <w:szCs w:val="20"/>
        </w:rPr>
      </w:pPr>
      <w:r>
        <w:rPr>
          <w:szCs w:val="20"/>
        </w:rPr>
        <w:t>i</w:t>
      </w:r>
      <w:r w:rsidR="00EB578E" w:rsidRPr="00966C80">
        <w:rPr>
          <w:szCs w:val="20"/>
        </w:rPr>
        <w:t>nternational travel and accommodation or touring</w:t>
      </w:r>
    </w:p>
    <w:p w14:paraId="5C9DD730" w14:textId="1C062FE5" w:rsidR="002E40CC" w:rsidRPr="003972D9" w:rsidRDefault="00786B88" w:rsidP="002E40CC">
      <w:pPr>
        <w:pStyle w:val="ListBullet"/>
        <w:spacing w:after="0"/>
        <w:ind w:left="714"/>
        <w:rPr>
          <w:szCs w:val="20"/>
        </w:rPr>
      </w:pPr>
      <w:r>
        <w:rPr>
          <w:szCs w:val="20"/>
        </w:rPr>
        <w:t>a</w:t>
      </w:r>
      <w:r w:rsidR="002E40CC" w:rsidRPr="003972D9">
        <w:rPr>
          <w:szCs w:val="20"/>
        </w:rPr>
        <w:t xml:space="preserve">uspiced organisations for grant </w:t>
      </w:r>
      <w:r w:rsidR="00A426D1">
        <w:rPr>
          <w:szCs w:val="20"/>
        </w:rPr>
        <w:t>requests</w:t>
      </w:r>
      <w:r w:rsidR="002E40CC" w:rsidRPr="003972D9">
        <w:rPr>
          <w:szCs w:val="20"/>
        </w:rPr>
        <w:t xml:space="preserve"> of $40,000 and over</w:t>
      </w:r>
    </w:p>
    <w:p w14:paraId="2E553DBB" w14:textId="3B0A008F" w:rsidR="002E40CC" w:rsidRPr="00966C80" w:rsidRDefault="00786B88" w:rsidP="002E40CC">
      <w:pPr>
        <w:pStyle w:val="ListBullet"/>
        <w:spacing w:after="0"/>
        <w:ind w:left="714"/>
        <w:rPr>
          <w:szCs w:val="20"/>
        </w:rPr>
      </w:pPr>
      <w:r>
        <w:rPr>
          <w:szCs w:val="20"/>
        </w:rPr>
        <w:t>a</w:t>
      </w:r>
      <w:r w:rsidR="002E40CC" w:rsidRPr="00966C80">
        <w:rPr>
          <w:szCs w:val="20"/>
        </w:rPr>
        <w:t>ctivities that have a primary focus on fundraising</w:t>
      </w:r>
    </w:p>
    <w:p w14:paraId="1DD117AF" w14:textId="27240C88" w:rsidR="00A426D1" w:rsidRPr="00966C80" w:rsidRDefault="00786B88" w:rsidP="00A426D1">
      <w:pPr>
        <w:pStyle w:val="ListBullet"/>
        <w:spacing w:after="0"/>
        <w:ind w:left="714"/>
        <w:rPr>
          <w:szCs w:val="20"/>
        </w:rPr>
      </w:pPr>
      <w:r>
        <w:rPr>
          <w:szCs w:val="20"/>
        </w:rPr>
        <w:t>m</w:t>
      </w:r>
      <w:r w:rsidR="00A426D1" w:rsidRPr="00966C80">
        <w:rPr>
          <w:szCs w:val="20"/>
        </w:rPr>
        <w:t>ultiple organisations applying for the same activity</w:t>
      </w:r>
    </w:p>
    <w:p w14:paraId="61FDB995" w14:textId="7C74C798" w:rsidR="00173929" w:rsidRDefault="00786B88" w:rsidP="00EC73C4">
      <w:pPr>
        <w:pStyle w:val="ListBullet"/>
        <w:spacing w:after="0"/>
        <w:ind w:left="714"/>
        <w:rPr>
          <w:szCs w:val="20"/>
        </w:rPr>
      </w:pPr>
      <w:r>
        <w:rPr>
          <w:szCs w:val="20"/>
        </w:rPr>
        <w:t>S</w:t>
      </w:r>
      <w:r w:rsidR="00034AC8" w:rsidRPr="00966C80">
        <w:rPr>
          <w:szCs w:val="20"/>
        </w:rPr>
        <w:t>tate-owned agencies, organisations and institutions including educational institutions, foun</w:t>
      </w:r>
      <w:r w:rsidR="00173929">
        <w:rPr>
          <w:szCs w:val="20"/>
        </w:rPr>
        <w:t>dations and grant making bodies</w:t>
      </w:r>
      <w:r w:rsidR="00034AC8" w:rsidRPr="00966C80">
        <w:rPr>
          <w:szCs w:val="20"/>
        </w:rPr>
        <w:t xml:space="preserve"> </w:t>
      </w:r>
    </w:p>
    <w:p w14:paraId="1B6153E3" w14:textId="729DF9A3" w:rsidR="00034AC8" w:rsidRPr="00966C80" w:rsidRDefault="00173929" w:rsidP="00EC73C4">
      <w:pPr>
        <w:pStyle w:val="ListBullet"/>
        <w:spacing w:after="0"/>
        <w:ind w:left="714"/>
        <w:rPr>
          <w:szCs w:val="20"/>
        </w:rPr>
      </w:pPr>
      <w:r>
        <w:rPr>
          <w:szCs w:val="20"/>
        </w:rPr>
        <w:t>a</w:t>
      </w:r>
      <w:r w:rsidR="00034AC8" w:rsidRPr="00966C80">
        <w:rPr>
          <w:szCs w:val="20"/>
        </w:rPr>
        <w:t xml:space="preserve">rts and cultural organisations that are not legally constituted </w:t>
      </w:r>
    </w:p>
    <w:p w14:paraId="5C416802" w14:textId="041BDD36" w:rsidR="00034AC8" w:rsidRPr="00966C80" w:rsidRDefault="00786B88" w:rsidP="00EC73C4">
      <w:pPr>
        <w:pStyle w:val="ListBullet"/>
        <w:spacing w:after="0"/>
        <w:ind w:left="714"/>
        <w:rPr>
          <w:szCs w:val="20"/>
        </w:rPr>
      </w:pPr>
      <w:r>
        <w:rPr>
          <w:szCs w:val="20"/>
        </w:rPr>
        <w:t>o</w:t>
      </w:r>
      <w:r w:rsidR="00034AC8" w:rsidRPr="00966C80">
        <w:rPr>
          <w:szCs w:val="20"/>
        </w:rPr>
        <w:t>rganisations that have an outstanding debt to the City of Melbourne or that have failed to comply with the terms and conditions of any previous funding agreement with City of Melbourne</w:t>
      </w:r>
    </w:p>
    <w:p w14:paraId="65FA9FBA" w14:textId="1FE9864D" w:rsidR="00A455AF" w:rsidRDefault="00786B88" w:rsidP="00A455AF">
      <w:pPr>
        <w:pStyle w:val="ListBullet"/>
        <w:spacing w:after="0"/>
        <w:ind w:left="714"/>
        <w:rPr>
          <w:szCs w:val="20"/>
        </w:rPr>
      </w:pPr>
      <w:r>
        <w:rPr>
          <w:szCs w:val="20"/>
        </w:rPr>
        <w:t>a</w:t>
      </w:r>
      <w:r w:rsidR="00034AC8" w:rsidRPr="00966C80">
        <w:rPr>
          <w:szCs w:val="20"/>
        </w:rPr>
        <w:t xml:space="preserve">pplications made by political organisations or activities that have a party political purpose </w:t>
      </w:r>
    </w:p>
    <w:p w14:paraId="099522A9" w14:textId="5BA17F93" w:rsidR="00034AC8" w:rsidRPr="002E40CC" w:rsidRDefault="00786B88" w:rsidP="005A6B73">
      <w:pPr>
        <w:pStyle w:val="ListBullet"/>
        <w:spacing w:after="0"/>
        <w:ind w:left="714"/>
        <w:rPr>
          <w:szCs w:val="20"/>
        </w:rPr>
      </w:pPr>
      <w:r>
        <w:rPr>
          <w:szCs w:val="20"/>
        </w:rPr>
        <w:t>a</w:t>
      </w:r>
      <w:r w:rsidR="00A455AF" w:rsidRPr="002E40CC">
        <w:rPr>
          <w:szCs w:val="20"/>
        </w:rPr>
        <w:t xml:space="preserve">ctivities that are owned by the City of Melbourne </w:t>
      </w:r>
      <w:r w:rsidR="002E40CC">
        <w:rPr>
          <w:szCs w:val="20"/>
        </w:rPr>
        <w:t>and a</w:t>
      </w:r>
      <w:r w:rsidR="002E40CC" w:rsidRPr="002E40CC">
        <w:rPr>
          <w:szCs w:val="20"/>
        </w:rPr>
        <w:t xml:space="preserve">pplications from </w:t>
      </w:r>
      <w:r w:rsidR="00A455AF" w:rsidRPr="002E40CC">
        <w:rPr>
          <w:szCs w:val="20"/>
        </w:rPr>
        <w:t>Council employees</w:t>
      </w:r>
      <w:r w:rsidR="002E40CC" w:rsidRPr="002E40CC">
        <w:rPr>
          <w:szCs w:val="20"/>
        </w:rPr>
        <w:t xml:space="preserve"> including contractors</w:t>
      </w:r>
      <w:r>
        <w:rPr>
          <w:szCs w:val="20"/>
        </w:rPr>
        <w:t>.</w:t>
      </w:r>
    </w:p>
    <w:p w14:paraId="1F686455" w14:textId="23976B22" w:rsidR="00707C60" w:rsidRPr="002A4EF1" w:rsidRDefault="00707C60" w:rsidP="00EC73C4">
      <w:pPr>
        <w:pStyle w:val="ListBullet"/>
        <w:numPr>
          <w:ilvl w:val="0"/>
          <w:numId w:val="0"/>
        </w:numPr>
        <w:ind w:left="714"/>
        <w:rPr>
          <w:sz w:val="22"/>
          <w:szCs w:val="22"/>
        </w:rPr>
      </w:pPr>
    </w:p>
    <w:p w14:paraId="650F7B3B" w14:textId="5B4163D2" w:rsidR="00034AC8" w:rsidRPr="00754653" w:rsidRDefault="00034AC8" w:rsidP="00707C60">
      <w:pPr>
        <w:pStyle w:val="Heading1"/>
        <w:ind w:left="426" w:hanging="426"/>
        <w:rPr>
          <w:rFonts w:hint="eastAsia"/>
        </w:rPr>
      </w:pPr>
      <w:bookmarkStart w:id="13" w:name="_Toc22312356"/>
      <w:r>
        <w:t>7.</w:t>
      </w:r>
      <w:r>
        <w:tab/>
        <w:t>Additional information</w:t>
      </w:r>
      <w:bookmarkEnd w:id="13"/>
      <w:r w:rsidRPr="00754653">
        <w:t xml:space="preserve"> </w:t>
      </w:r>
    </w:p>
    <w:p w14:paraId="1DF77315" w14:textId="1A4FF032" w:rsidR="00034AC8" w:rsidRPr="00966C80" w:rsidRDefault="00034AC8" w:rsidP="00EC73C4">
      <w:pPr>
        <w:pStyle w:val="ListBullet"/>
        <w:spacing w:after="0"/>
        <w:ind w:left="714"/>
        <w:rPr>
          <w:szCs w:val="20"/>
        </w:rPr>
      </w:pPr>
      <w:r w:rsidRPr="00966C80">
        <w:rPr>
          <w:szCs w:val="20"/>
        </w:rPr>
        <w:t>Canvassing or lobbying in relation to an application is prohibited. No consideration will be given to an applicant who intends to influence Councillors, the Lord Mayor, employees or assessors</w:t>
      </w:r>
      <w:r w:rsidR="007E4AB9">
        <w:rPr>
          <w:szCs w:val="20"/>
        </w:rPr>
        <w:t>.</w:t>
      </w:r>
    </w:p>
    <w:p w14:paraId="3906AEA4" w14:textId="63FB5673" w:rsidR="00034AC8" w:rsidRPr="00966C80" w:rsidRDefault="00034AC8" w:rsidP="00EC73C4">
      <w:pPr>
        <w:pStyle w:val="ListBullet"/>
        <w:spacing w:after="0"/>
        <w:ind w:left="714"/>
        <w:rPr>
          <w:szCs w:val="20"/>
        </w:rPr>
      </w:pPr>
      <w:r w:rsidRPr="00966C80">
        <w:rPr>
          <w:szCs w:val="20"/>
        </w:rPr>
        <w:t xml:space="preserve">Details of the </w:t>
      </w:r>
      <w:hyperlink r:id="rId14" w:history="1">
        <w:r w:rsidRPr="00966C80">
          <w:rPr>
            <w:rStyle w:val="Hyperlink"/>
            <w:szCs w:val="20"/>
          </w:rPr>
          <w:t>assessment panel members</w:t>
        </w:r>
      </w:hyperlink>
      <w:r w:rsidRPr="00966C80">
        <w:rPr>
          <w:rStyle w:val="FootnoteReference"/>
          <w:color w:val="0000FF"/>
          <w:szCs w:val="20"/>
          <w:u w:val="single"/>
        </w:rPr>
        <w:footnoteReference w:id="6"/>
      </w:r>
      <w:r w:rsidRPr="00966C80">
        <w:rPr>
          <w:szCs w:val="20"/>
        </w:rPr>
        <w:t xml:space="preserve"> will be publish</w:t>
      </w:r>
      <w:r w:rsidR="002F45EA">
        <w:rPr>
          <w:szCs w:val="20"/>
        </w:rPr>
        <w:t>ed online post Council approval</w:t>
      </w:r>
      <w:r w:rsidR="007E4AB9">
        <w:rPr>
          <w:szCs w:val="20"/>
        </w:rPr>
        <w:t>.</w:t>
      </w:r>
    </w:p>
    <w:p w14:paraId="5066A464" w14:textId="31D672A9" w:rsidR="00034AC8" w:rsidRPr="00966C80" w:rsidRDefault="00034AC8" w:rsidP="00EC73C4">
      <w:pPr>
        <w:pStyle w:val="ListBullet"/>
        <w:spacing w:after="0"/>
        <w:ind w:left="714"/>
        <w:rPr>
          <w:bCs/>
          <w:szCs w:val="20"/>
        </w:rPr>
      </w:pPr>
      <w:r w:rsidRPr="00966C80">
        <w:rPr>
          <w:szCs w:val="20"/>
        </w:rPr>
        <w:t>Applications are treated as confidential and contents will not be disclosed outside the application and assessment process. A brief summary of your proposal may be used in reports to Council</w:t>
      </w:r>
      <w:r w:rsidR="007E4AB9">
        <w:rPr>
          <w:szCs w:val="20"/>
        </w:rPr>
        <w:t>.</w:t>
      </w:r>
    </w:p>
    <w:p w14:paraId="0CBD6FDD" w14:textId="0AF98268" w:rsidR="00034AC8" w:rsidRPr="00966C80" w:rsidRDefault="00034AC8" w:rsidP="00EC73C4">
      <w:pPr>
        <w:pStyle w:val="ListBullet"/>
        <w:spacing w:after="0"/>
        <w:ind w:left="714"/>
        <w:rPr>
          <w:szCs w:val="20"/>
        </w:rPr>
      </w:pPr>
      <w:r w:rsidRPr="00966C80">
        <w:rPr>
          <w:szCs w:val="20"/>
        </w:rPr>
        <w:t>The City of Melbourne will not correct errors in applications but reserves the right to request further information</w:t>
      </w:r>
      <w:r w:rsidR="007E4AB9">
        <w:rPr>
          <w:szCs w:val="20"/>
        </w:rPr>
        <w:t>.</w:t>
      </w:r>
    </w:p>
    <w:p w14:paraId="18BEF2D6" w14:textId="4AA6AAC0" w:rsidR="000F0E27" w:rsidRDefault="000F0E27" w:rsidP="000F0E27">
      <w:pPr>
        <w:pStyle w:val="ListBullet"/>
        <w:spacing w:after="0"/>
        <w:ind w:left="714"/>
        <w:rPr>
          <w:szCs w:val="20"/>
        </w:rPr>
      </w:pPr>
      <w:r w:rsidRPr="00966C80">
        <w:rPr>
          <w:szCs w:val="20"/>
        </w:rPr>
        <w:t>Organisation</w:t>
      </w:r>
      <w:r w:rsidR="00C85B66">
        <w:rPr>
          <w:szCs w:val="20"/>
        </w:rPr>
        <w:t>al</w:t>
      </w:r>
      <w:r w:rsidRPr="00966C80">
        <w:rPr>
          <w:szCs w:val="20"/>
        </w:rPr>
        <w:t xml:space="preserve"> performance will be considered as a part of the assessment process</w:t>
      </w:r>
      <w:r>
        <w:rPr>
          <w:szCs w:val="20"/>
        </w:rPr>
        <w:t>.</w:t>
      </w:r>
    </w:p>
    <w:p w14:paraId="5A793B76" w14:textId="210C8E6C" w:rsidR="00034AC8" w:rsidRPr="00966C80" w:rsidRDefault="00034AC8" w:rsidP="00EC73C4">
      <w:pPr>
        <w:pStyle w:val="ListBullet"/>
        <w:spacing w:after="0"/>
        <w:ind w:left="714"/>
        <w:rPr>
          <w:szCs w:val="20"/>
        </w:rPr>
      </w:pPr>
      <w:r w:rsidRPr="00966C80">
        <w:rPr>
          <w:szCs w:val="20"/>
        </w:rPr>
        <w:t>The City of Melbourne has the right to reject any application that is ineligible</w:t>
      </w:r>
      <w:r w:rsidR="007E4AB9">
        <w:rPr>
          <w:szCs w:val="20"/>
        </w:rPr>
        <w:t>.</w:t>
      </w:r>
      <w:r w:rsidRPr="00966C80">
        <w:rPr>
          <w:szCs w:val="20"/>
        </w:rPr>
        <w:t xml:space="preserve">  </w:t>
      </w:r>
    </w:p>
    <w:p w14:paraId="5458BA43" w14:textId="77777777" w:rsidR="00694C79" w:rsidRDefault="00694C79" w:rsidP="00694C79">
      <w:pPr>
        <w:pStyle w:val="ListBullet"/>
        <w:spacing w:after="0"/>
        <w:ind w:left="714"/>
        <w:rPr>
          <w:szCs w:val="20"/>
        </w:rPr>
      </w:pPr>
      <w:r w:rsidRPr="007E4AB9">
        <w:rPr>
          <w:szCs w:val="20"/>
        </w:rPr>
        <w:t xml:space="preserve">All decisions are final and there will be no review or appeal process. </w:t>
      </w:r>
    </w:p>
    <w:p w14:paraId="174F38DA" w14:textId="3DF2F702" w:rsidR="00034AC8" w:rsidRPr="00966C80" w:rsidRDefault="00034AC8" w:rsidP="00EC73C4">
      <w:pPr>
        <w:pStyle w:val="ListBullet"/>
        <w:spacing w:after="0"/>
        <w:ind w:left="714"/>
        <w:rPr>
          <w:szCs w:val="20"/>
        </w:rPr>
      </w:pPr>
      <w:r w:rsidRPr="00966C80">
        <w:rPr>
          <w:szCs w:val="20"/>
        </w:rPr>
        <w:t>Successful applicants will enter into a funding agreement detailing the grant obligations including annual acquittals and establish annual performance measures</w:t>
      </w:r>
      <w:r w:rsidR="00AB2894">
        <w:rPr>
          <w:szCs w:val="20"/>
        </w:rPr>
        <w:t>.</w:t>
      </w:r>
    </w:p>
    <w:p w14:paraId="3FF1BD47" w14:textId="506ABFB3" w:rsidR="00694C79" w:rsidRPr="00694C79" w:rsidRDefault="00694C79" w:rsidP="00694C79">
      <w:pPr>
        <w:pStyle w:val="ListBullet"/>
        <w:spacing w:after="0"/>
        <w:ind w:left="714"/>
        <w:rPr>
          <w:szCs w:val="20"/>
        </w:rPr>
      </w:pPr>
      <w:r w:rsidRPr="007E4AB9">
        <w:rPr>
          <w:szCs w:val="20"/>
        </w:rPr>
        <w:t xml:space="preserve">Unsuccessful applicants may </w:t>
      </w:r>
      <w:r w:rsidR="00A974A6">
        <w:rPr>
          <w:szCs w:val="20"/>
        </w:rPr>
        <w:t xml:space="preserve">be eligible to </w:t>
      </w:r>
      <w:r w:rsidRPr="007E4AB9">
        <w:rPr>
          <w:szCs w:val="20"/>
        </w:rPr>
        <w:t xml:space="preserve">apply to other </w:t>
      </w:r>
      <w:r w:rsidR="00A974A6">
        <w:rPr>
          <w:szCs w:val="20"/>
        </w:rPr>
        <w:t xml:space="preserve">City of Melbourne </w:t>
      </w:r>
      <w:hyperlink r:id="rId15" w:history="1">
        <w:r w:rsidR="00A974A6" w:rsidRPr="00A974A6">
          <w:rPr>
            <w:rStyle w:val="Hyperlink"/>
            <w:szCs w:val="20"/>
          </w:rPr>
          <w:t>grants and sponsorship programs</w:t>
        </w:r>
      </w:hyperlink>
      <w:r w:rsidR="00A974A6">
        <w:rPr>
          <w:rStyle w:val="FootnoteReference"/>
          <w:szCs w:val="20"/>
        </w:rPr>
        <w:footnoteReference w:id="7"/>
      </w:r>
      <w:r w:rsidR="00A974A6">
        <w:rPr>
          <w:szCs w:val="20"/>
        </w:rPr>
        <w:t>.</w:t>
      </w:r>
    </w:p>
    <w:p w14:paraId="5544AFB4" w14:textId="66A15795" w:rsidR="00034AC8" w:rsidRPr="00BC50FF" w:rsidRDefault="00034AC8" w:rsidP="00694C79">
      <w:pPr>
        <w:pStyle w:val="Heading2"/>
        <w:spacing w:before="600"/>
        <w:rPr>
          <w:rFonts w:hint="eastAsia"/>
          <w:noProof/>
        </w:rPr>
      </w:pPr>
      <w:r>
        <w:rPr>
          <w:noProof/>
        </w:rPr>
        <w:t>Contact us</w:t>
      </w:r>
    </w:p>
    <w:p w14:paraId="4715622F" w14:textId="77777777" w:rsidR="00034AC8" w:rsidRPr="00966C80" w:rsidRDefault="00034AC8" w:rsidP="00034AC8">
      <w:pPr>
        <w:pStyle w:val="ListBullet"/>
        <w:ind w:left="714"/>
        <w:rPr>
          <w:noProof/>
          <w:szCs w:val="20"/>
        </w:rPr>
      </w:pPr>
      <w:r w:rsidRPr="00966C80">
        <w:rPr>
          <w:noProof/>
          <w:szCs w:val="20"/>
        </w:rPr>
        <w:t xml:space="preserve">Email: </w:t>
      </w:r>
      <w:hyperlink r:id="rId16" w:history="1">
        <w:r w:rsidRPr="00966C80">
          <w:rPr>
            <w:rStyle w:val="Hyperlink"/>
            <w:rFonts w:cs="Arial"/>
            <w:szCs w:val="20"/>
          </w:rPr>
          <w:t>artsgrants</w:t>
        </w:r>
        <w:r w:rsidRPr="00966C80">
          <w:rPr>
            <w:rStyle w:val="Hyperlink"/>
            <w:rFonts w:cs="Arial"/>
            <w:noProof/>
            <w:szCs w:val="20"/>
          </w:rPr>
          <w:t>@melbourne.vic.gov.au</w:t>
        </w:r>
      </w:hyperlink>
      <w:r w:rsidRPr="00966C80">
        <w:rPr>
          <w:szCs w:val="20"/>
        </w:rPr>
        <w:t xml:space="preserve"> </w:t>
      </w:r>
    </w:p>
    <w:p w14:paraId="1A647E17" w14:textId="22606AFB" w:rsidR="00034AC8" w:rsidRPr="00966C80" w:rsidRDefault="00034AC8" w:rsidP="00034AC8">
      <w:pPr>
        <w:pStyle w:val="ListBullet"/>
        <w:ind w:left="714"/>
        <w:rPr>
          <w:szCs w:val="20"/>
        </w:rPr>
      </w:pPr>
      <w:r w:rsidRPr="00966C80">
        <w:rPr>
          <w:noProof/>
          <w:szCs w:val="20"/>
        </w:rPr>
        <w:t xml:space="preserve">Phone: </w:t>
      </w:r>
      <w:r w:rsidR="0095274A" w:rsidRPr="00966C80">
        <w:rPr>
          <w:szCs w:val="20"/>
        </w:rPr>
        <w:t xml:space="preserve">Bronwyn Roper </w:t>
      </w:r>
      <w:r w:rsidR="0095274A" w:rsidRPr="00966C80">
        <w:rPr>
          <w:rFonts w:cs="Arial"/>
          <w:szCs w:val="20"/>
          <w:lang w:eastAsia="en-AU"/>
        </w:rPr>
        <w:t xml:space="preserve">0422 872 729 </w:t>
      </w:r>
      <w:r w:rsidR="006340FA" w:rsidRPr="00966C80">
        <w:rPr>
          <w:noProof/>
          <w:szCs w:val="20"/>
        </w:rPr>
        <w:t>Monday to Friday</w:t>
      </w:r>
      <w:r w:rsidR="006340FA" w:rsidRPr="00966C80">
        <w:rPr>
          <w:rFonts w:cs="Arial"/>
          <w:szCs w:val="20"/>
          <w:lang w:eastAsia="en-AU"/>
        </w:rPr>
        <w:t xml:space="preserve"> </w:t>
      </w:r>
      <w:r w:rsidR="0095274A" w:rsidRPr="00966C80">
        <w:rPr>
          <w:rFonts w:cs="Arial"/>
          <w:szCs w:val="20"/>
          <w:lang w:eastAsia="en-AU"/>
        </w:rPr>
        <w:t xml:space="preserve">or Candy Mitchell </w:t>
      </w:r>
      <w:r w:rsidR="0095274A" w:rsidRPr="00966C80">
        <w:rPr>
          <w:rFonts w:cs="Arial"/>
          <w:color w:val="000000"/>
          <w:szCs w:val="20"/>
          <w:lang w:eastAsia="en-AU"/>
        </w:rPr>
        <w:t>0421 056 709</w:t>
      </w:r>
      <w:r w:rsidR="006340FA">
        <w:rPr>
          <w:rFonts w:cs="Arial"/>
          <w:color w:val="000000"/>
          <w:szCs w:val="20"/>
          <w:lang w:eastAsia="en-AU"/>
        </w:rPr>
        <w:t xml:space="preserve"> Monday</w:t>
      </w:r>
      <w:r w:rsidR="00E6292E">
        <w:rPr>
          <w:rFonts w:cs="Arial"/>
          <w:color w:val="000000"/>
          <w:szCs w:val="20"/>
          <w:lang w:eastAsia="en-AU"/>
        </w:rPr>
        <w:t>s</w:t>
      </w:r>
      <w:r w:rsidR="006340FA">
        <w:rPr>
          <w:rFonts w:cs="Arial"/>
          <w:color w:val="000000"/>
          <w:szCs w:val="20"/>
          <w:lang w:eastAsia="en-AU"/>
        </w:rPr>
        <w:t>, Wednesdays and Fridays from</w:t>
      </w:r>
      <w:r w:rsidRPr="00966C80">
        <w:rPr>
          <w:noProof/>
          <w:szCs w:val="20"/>
        </w:rPr>
        <w:t xml:space="preserve"> 9am to 5pm, public holidays excluded</w:t>
      </w:r>
    </w:p>
    <w:p w14:paraId="1C460A1B" w14:textId="77777777" w:rsidR="00034AC8" w:rsidRPr="00966C80" w:rsidRDefault="00034AC8" w:rsidP="00034AC8">
      <w:pPr>
        <w:pStyle w:val="ListBullet"/>
        <w:ind w:left="714"/>
        <w:rPr>
          <w:szCs w:val="20"/>
        </w:rPr>
      </w:pPr>
      <w:r w:rsidRPr="00966C80">
        <w:rPr>
          <w:szCs w:val="20"/>
        </w:rPr>
        <w:t xml:space="preserve">Refer to </w:t>
      </w:r>
      <w:r w:rsidRPr="002063DA">
        <w:rPr>
          <w:szCs w:val="20"/>
        </w:rPr>
        <w:t xml:space="preserve">the </w:t>
      </w:r>
      <w:hyperlink r:id="rId17" w:history="1">
        <w:r w:rsidRPr="002063DA">
          <w:rPr>
            <w:rStyle w:val="Hyperlink"/>
            <w:szCs w:val="20"/>
          </w:rPr>
          <w:t>FAQs</w:t>
        </w:r>
      </w:hyperlink>
      <w:r w:rsidRPr="002063DA">
        <w:rPr>
          <w:rStyle w:val="FootnoteReference"/>
          <w:szCs w:val="20"/>
        </w:rPr>
        <w:footnoteReference w:id="8"/>
      </w:r>
      <w:r w:rsidRPr="002063DA">
        <w:rPr>
          <w:szCs w:val="20"/>
        </w:rPr>
        <w:t xml:space="preserve"> for answers</w:t>
      </w:r>
      <w:r w:rsidRPr="00966C80">
        <w:rPr>
          <w:szCs w:val="20"/>
        </w:rPr>
        <w:t xml:space="preserve"> to frequently asked questions </w:t>
      </w:r>
    </w:p>
    <w:p w14:paraId="4BE113F1" w14:textId="77777777" w:rsidR="00034AC8" w:rsidRPr="00667053" w:rsidRDefault="00034AC8" w:rsidP="00034AC8">
      <w:pPr>
        <w:pStyle w:val="Heading2"/>
        <w:rPr>
          <w:rFonts w:hint="eastAsia"/>
        </w:rPr>
      </w:pPr>
      <w:bookmarkStart w:id="14" w:name="_Toc4501803"/>
      <w:bookmarkStart w:id="15" w:name="_Toc22312363"/>
      <w:r w:rsidRPr="00667053">
        <w:t>Interpreter and translation services</w:t>
      </w:r>
      <w:bookmarkEnd w:id="14"/>
      <w:bookmarkEnd w:id="15"/>
    </w:p>
    <w:p w14:paraId="14C6D0AE" w14:textId="77777777" w:rsidR="00034AC8" w:rsidRPr="00966C80" w:rsidRDefault="00034AC8" w:rsidP="00034AC8">
      <w:pPr>
        <w:rPr>
          <w:rStyle w:val="Hyperlink"/>
          <w:rFonts w:cs="Arial"/>
          <w:szCs w:val="20"/>
          <w:lang w:val="en"/>
        </w:rPr>
      </w:pPr>
      <w:r w:rsidRPr="00966C80">
        <w:rPr>
          <w:szCs w:val="20"/>
        </w:rPr>
        <w:t xml:space="preserve">Our multilingual information telephone service provides access to </w:t>
      </w:r>
      <w:hyperlink r:id="rId18" w:history="1">
        <w:r w:rsidRPr="00966C80">
          <w:rPr>
            <w:rStyle w:val="Hyperlink"/>
            <w:szCs w:val="20"/>
          </w:rPr>
          <w:t>translators</w:t>
        </w:r>
      </w:hyperlink>
      <w:r w:rsidRPr="00966C80">
        <w:rPr>
          <w:rStyle w:val="FootnoteReference"/>
          <w:color w:val="0000FF"/>
          <w:szCs w:val="20"/>
          <w:u w:val="single"/>
        </w:rPr>
        <w:footnoteReference w:id="9"/>
      </w:r>
      <w:r w:rsidRPr="00966C80">
        <w:rPr>
          <w:szCs w:val="20"/>
        </w:rPr>
        <w:t xml:space="preserve"> and information in different languages.</w:t>
      </w:r>
    </w:p>
    <w:p w14:paraId="2A406BAB" w14:textId="2723239F" w:rsidR="00034AC8" w:rsidRDefault="00034AC8" w:rsidP="00034AC8">
      <w:pPr>
        <w:spacing w:before="240"/>
        <w:rPr>
          <w:b/>
        </w:rPr>
      </w:pPr>
      <w:bookmarkStart w:id="16" w:name="_Toc22312364"/>
      <w:r>
        <w:rPr>
          <w:rStyle w:val="Heading2Char"/>
        </w:rPr>
        <w:t xml:space="preserve">Accessibility for </w:t>
      </w:r>
      <w:r w:rsidR="004D772D">
        <w:rPr>
          <w:rStyle w:val="Heading2Char"/>
        </w:rPr>
        <w:t>d</w:t>
      </w:r>
      <w:r w:rsidRPr="00E359F4">
        <w:rPr>
          <w:rStyle w:val="Heading2Char"/>
        </w:rPr>
        <w:t>/</w:t>
      </w:r>
      <w:r w:rsidR="004D772D">
        <w:rPr>
          <w:rStyle w:val="Heading2Char"/>
        </w:rPr>
        <w:t>D</w:t>
      </w:r>
      <w:r w:rsidRPr="00E359F4">
        <w:rPr>
          <w:rStyle w:val="Heading2Char"/>
        </w:rPr>
        <w:t>eaf</w:t>
      </w:r>
      <w:r>
        <w:rPr>
          <w:rStyle w:val="Heading2Char"/>
        </w:rPr>
        <w:t>, disabled a</w:t>
      </w:r>
      <w:r w:rsidRPr="004028D7">
        <w:rPr>
          <w:rStyle w:val="Heading2Char"/>
        </w:rPr>
        <w:t>pplicants</w:t>
      </w:r>
      <w:bookmarkEnd w:id="16"/>
    </w:p>
    <w:p w14:paraId="046F4B67" w14:textId="5D09E2FF" w:rsidR="00034AC8" w:rsidRPr="00966C80" w:rsidRDefault="00E6292E" w:rsidP="00034AC8">
      <w:pPr>
        <w:spacing w:before="240"/>
        <w:rPr>
          <w:szCs w:val="20"/>
        </w:rPr>
      </w:pPr>
      <w:r>
        <w:rPr>
          <w:szCs w:val="20"/>
        </w:rPr>
        <w:t>d/D</w:t>
      </w:r>
      <w:r w:rsidR="00034AC8" w:rsidRPr="00966C80">
        <w:rPr>
          <w:szCs w:val="20"/>
        </w:rPr>
        <w:t>eaf, disabled applicants are encouraged to contact Council staff to discuss any specific needs or additional support that may be required to complete and submit an application</w:t>
      </w:r>
      <w:r w:rsidR="009E3599">
        <w:rPr>
          <w:szCs w:val="20"/>
        </w:rPr>
        <w:t xml:space="preserve">. </w:t>
      </w:r>
      <w:r w:rsidR="009E3599" w:rsidRPr="00A730D7">
        <w:rPr>
          <w:szCs w:val="20"/>
        </w:rPr>
        <w:t>Phone</w:t>
      </w:r>
      <w:r w:rsidR="00034AC8" w:rsidRPr="00A730D7">
        <w:rPr>
          <w:szCs w:val="20"/>
        </w:rPr>
        <w:t xml:space="preserve"> </w:t>
      </w:r>
      <w:r w:rsidR="003441EE" w:rsidRPr="00A730D7">
        <w:rPr>
          <w:szCs w:val="20"/>
        </w:rPr>
        <w:t xml:space="preserve">Bronwyn Roper </w:t>
      </w:r>
      <w:r w:rsidR="00A730D7" w:rsidRPr="00A730D7">
        <w:rPr>
          <w:szCs w:val="20"/>
        </w:rPr>
        <w:t>with inquiries on 0422 872 729</w:t>
      </w:r>
      <w:r w:rsidR="003441EE" w:rsidRPr="00A730D7">
        <w:rPr>
          <w:szCs w:val="20"/>
        </w:rPr>
        <w:t>.</w:t>
      </w:r>
    </w:p>
    <w:p w14:paraId="3CAC5E73" w14:textId="77777777" w:rsidR="00034AC8" w:rsidRPr="00966C80" w:rsidRDefault="00034AC8" w:rsidP="00034AC8">
      <w:pPr>
        <w:spacing w:before="240"/>
        <w:rPr>
          <w:szCs w:val="20"/>
        </w:rPr>
      </w:pPr>
      <w:r w:rsidRPr="00966C80">
        <w:rPr>
          <w:szCs w:val="20"/>
        </w:rPr>
        <w:t>If you are deaf, hearing-impaired or speech-impaired contact us via the National Relay Service on 133 677 (ask for 03 9658 9658).</w:t>
      </w:r>
    </w:p>
    <w:p w14:paraId="3BB025D0" w14:textId="77777777" w:rsidR="00034AC8" w:rsidRPr="00BC50FF" w:rsidRDefault="00034AC8" w:rsidP="00034AC8">
      <w:pPr>
        <w:pStyle w:val="Heading2"/>
        <w:rPr>
          <w:rFonts w:hint="eastAsia"/>
        </w:rPr>
      </w:pPr>
      <w:bookmarkStart w:id="17" w:name="_Toc22312365"/>
      <w:r w:rsidRPr="00BC50FF">
        <w:t xml:space="preserve">Technical </w:t>
      </w:r>
      <w:r>
        <w:t>support</w:t>
      </w:r>
      <w:bookmarkEnd w:id="17"/>
    </w:p>
    <w:p w14:paraId="6FA773B4" w14:textId="77777777" w:rsidR="00034AC8" w:rsidRPr="00966C80" w:rsidRDefault="00034AC8" w:rsidP="00034AC8">
      <w:pPr>
        <w:rPr>
          <w:szCs w:val="20"/>
        </w:rPr>
      </w:pPr>
      <w:r w:rsidRPr="00966C80">
        <w:rPr>
          <w:szCs w:val="20"/>
        </w:rPr>
        <w:t xml:space="preserve">Refer to </w:t>
      </w:r>
      <w:hyperlink r:id="rId19" w:history="1">
        <w:r w:rsidRPr="00966C80">
          <w:rPr>
            <w:rStyle w:val="Hyperlink"/>
            <w:szCs w:val="20"/>
          </w:rPr>
          <w:t>SmartyGrants help guide</w:t>
        </w:r>
      </w:hyperlink>
      <w:r w:rsidRPr="00966C80">
        <w:rPr>
          <w:rStyle w:val="FootnoteReference"/>
          <w:color w:val="0000FF"/>
          <w:szCs w:val="20"/>
          <w:u w:val="single"/>
        </w:rPr>
        <w:footnoteReference w:id="10"/>
      </w:r>
      <w:r w:rsidRPr="00966C80">
        <w:rPr>
          <w:szCs w:val="20"/>
        </w:rPr>
        <w:t xml:space="preserve"> for technical assistance with submitting an application form.</w:t>
      </w:r>
    </w:p>
    <w:p w14:paraId="060EA3C0" w14:textId="77777777" w:rsidR="00034AC8" w:rsidRPr="00966C80" w:rsidRDefault="00034AC8" w:rsidP="00034AC8">
      <w:pPr>
        <w:rPr>
          <w:szCs w:val="20"/>
        </w:rPr>
      </w:pPr>
      <w:r w:rsidRPr="00966C80">
        <w:rPr>
          <w:szCs w:val="20"/>
        </w:rPr>
        <w:t xml:space="preserve">The </w:t>
      </w:r>
      <w:hyperlink r:id="rId20" w:history="1">
        <w:r w:rsidRPr="00966C80">
          <w:rPr>
            <w:rStyle w:val="Hyperlink"/>
            <w:szCs w:val="20"/>
          </w:rPr>
          <w:t>SmartyGrants support desk</w:t>
        </w:r>
      </w:hyperlink>
      <w:r w:rsidRPr="00966C80">
        <w:rPr>
          <w:rStyle w:val="FootnoteReference"/>
          <w:color w:val="0000FF"/>
          <w:szCs w:val="20"/>
          <w:u w:val="single"/>
        </w:rPr>
        <w:footnoteReference w:id="11"/>
      </w:r>
      <w:r w:rsidRPr="00966C80">
        <w:rPr>
          <w:szCs w:val="20"/>
        </w:rPr>
        <w:t xml:space="preserve"> is open 9am–5pm Monday to Friday on 03 9320 6888 or by email </w:t>
      </w:r>
      <w:hyperlink r:id="rId21" w:history="1">
        <w:r w:rsidRPr="00966C80">
          <w:rPr>
            <w:rStyle w:val="Hyperlink"/>
            <w:szCs w:val="20"/>
          </w:rPr>
          <w:t>service@smartygrants.com.au</w:t>
        </w:r>
      </w:hyperlink>
      <w:r w:rsidRPr="00966C80">
        <w:rPr>
          <w:rStyle w:val="Hyperlink"/>
          <w:szCs w:val="20"/>
        </w:rPr>
        <w:t>.</w:t>
      </w:r>
      <w:r w:rsidRPr="00966C80">
        <w:rPr>
          <w:szCs w:val="20"/>
        </w:rPr>
        <w:t xml:space="preserve"> </w:t>
      </w:r>
      <w:bookmarkEnd w:id="4"/>
      <w:bookmarkEnd w:id="5"/>
      <w:bookmarkEnd w:id="6"/>
      <w:bookmarkEnd w:id="7"/>
    </w:p>
    <w:sectPr w:rsidR="00034AC8" w:rsidRPr="00966C80" w:rsidSect="00AE1E1B">
      <w:headerReference w:type="even" r:id="rId22"/>
      <w:headerReference w:type="default" r:id="rId23"/>
      <w:footerReference w:type="even" r:id="rId24"/>
      <w:footerReference w:type="default" r:id="rId25"/>
      <w:headerReference w:type="first" r:id="rId26"/>
      <w:footerReference w:type="first" r:id="rId27"/>
      <w:endnotePr>
        <w:numFmt w:val="decimal"/>
      </w:endnotePr>
      <w:pgSz w:w="11900" w:h="16840" w:code="9"/>
      <w:pgMar w:top="1134" w:right="987"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A407" w14:textId="77777777" w:rsidR="00034AC8" w:rsidRDefault="00034AC8" w:rsidP="00BC719D">
      <w:pPr>
        <w:spacing w:after="0"/>
      </w:pPr>
      <w:r>
        <w:separator/>
      </w:r>
    </w:p>
  </w:endnote>
  <w:endnote w:type="continuationSeparator" w:id="0">
    <w:p w14:paraId="64CCA068" w14:textId="77777777" w:rsidR="00034AC8" w:rsidRDefault="00034AC8"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6BBF6" w14:textId="77777777" w:rsidR="00FF3191" w:rsidRDefault="00FF3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829B3" w14:textId="77777777" w:rsidR="00FF3191" w:rsidRDefault="00FF3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F0426" w14:textId="77777777" w:rsidR="00FF3191" w:rsidRDefault="00FF3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3D912" w14:textId="77777777" w:rsidR="00034AC8" w:rsidRDefault="00034AC8" w:rsidP="00577A39">
      <w:pPr>
        <w:spacing w:after="40" w:line="240" w:lineRule="auto"/>
      </w:pPr>
      <w:r>
        <w:separator/>
      </w:r>
    </w:p>
  </w:footnote>
  <w:footnote w:type="continuationSeparator" w:id="0">
    <w:p w14:paraId="16DAB1D6" w14:textId="77777777" w:rsidR="00034AC8" w:rsidRDefault="00034AC8" w:rsidP="00EA2130">
      <w:r>
        <w:continuationSeparator/>
      </w:r>
    </w:p>
  </w:footnote>
  <w:footnote w:id="1">
    <w:p w14:paraId="0AB6E424" w14:textId="7C5A5348" w:rsidR="00635BB6" w:rsidRDefault="00635BB6">
      <w:pPr>
        <w:pStyle w:val="FootnoteText"/>
      </w:pPr>
      <w:r>
        <w:rPr>
          <w:rStyle w:val="FootnoteReference"/>
        </w:rPr>
        <w:footnoteRef/>
      </w:r>
      <w:r>
        <w:t xml:space="preserve"> </w:t>
      </w:r>
      <w:r w:rsidRPr="00635BB6">
        <w:t>https://www.eventbrite.com.au/o/city-of-melbourne-10687547785</w:t>
      </w:r>
    </w:p>
  </w:footnote>
  <w:footnote w:id="2">
    <w:p w14:paraId="3E940AED" w14:textId="77777777" w:rsidR="00034AC8" w:rsidRDefault="00034AC8" w:rsidP="00034AC8">
      <w:pPr>
        <w:pStyle w:val="FootnoteText"/>
      </w:pPr>
      <w:r>
        <w:rPr>
          <w:rStyle w:val="FootnoteReference"/>
        </w:rPr>
        <w:footnoteRef/>
      </w:r>
      <w:r>
        <w:t xml:space="preserve"> </w:t>
      </w:r>
      <w:r w:rsidRPr="008141AD">
        <w:t>https://www.melbourne.vic.gov.au/arts-and-culture/strategies-support/pages/draft-creative-strategy-2018-28.aspx</w:t>
      </w:r>
    </w:p>
  </w:footnote>
  <w:footnote w:id="3">
    <w:p w14:paraId="2CF56915" w14:textId="660EBE21" w:rsidR="002063DA" w:rsidRDefault="002063DA">
      <w:pPr>
        <w:pStyle w:val="FootnoteText"/>
      </w:pPr>
      <w:r>
        <w:rPr>
          <w:rStyle w:val="FootnoteReference"/>
        </w:rPr>
        <w:footnoteRef/>
      </w:r>
      <w:r>
        <w:t xml:space="preserve"> </w:t>
      </w:r>
      <w:r w:rsidRPr="002063DA">
        <w:t>https://www.melbourne.vic.gov.au/arts-and-culture/strategies-support/Pages/creative-funding-framework.aspx</w:t>
      </w:r>
    </w:p>
  </w:footnote>
  <w:footnote w:id="4">
    <w:p w14:paraId="056F421C" w14:textId="227274CE" w:rsidR="005E44C0" w:rsidRDefault="005E44C0">
      <w:pPr>
        <w:pStyle w:val="FootnoteText"/>
      </w:pPr>
      <w:r>
        <w:rPr>
          <w:rStyle w:val="FootnoteReference"/>
        </w:rPr>
        <w:footnoteRef/>
      </w:r>
      <w:r>
        <w:t xml:space="preserve"> </w:t>
      </w:r>
      <w:r w:rsidRPr="005E44C0">
        <w:t>https://melbourne.smartygrants.com.au/</w:t>
      </w:r>
    </w:p>
  </w:footnote>
  <w:footnote w:id="5">
    <w:p w14:paraId="50740362" w14:textId="77777777" w:rsidR="00034AC8" w:rsidRDefault="00034AC8" w:rsidP="00034AC8">
      <w:pPr>
        <w:pStyle w:val="FootnoteText"/>
      </w:pPr>
      <w:r>
        <w:rPr>
          <w:rStyle w:val="FootnoteReference"/>
        </w:rPr>
        <w:footnoteRef/>
      </w:r>
      <w:r>
        <w:t xml:space="preserve"> </w:t>
      </w:r>
      <w:r w:rsidRPr="000D4BBB">
        <w:t>https://www.melbourne.vic.gov.au/about-melbourne/melbourne-profile/pages/city-maps.aspx</w:t>
      </w:r>
    </w:p>
  </w:footnote>
  <w:footnote w:id="6">
    <w:p w14:paraId="1993B749" w14:textId="77777777" w:rsidR="00034AC8" w:rsidRDefault="00034AC8" w:rsidP="00034AC8">
      <w:pPr>
        <w:pStyle w:val="FootnoteText"/>
      </w:pPr>
      <w:r>
        <w:rPr>
          <w:rStyle w:val="FootnoteReference"/>
        </w:rPr>
        <w:footnoteRef/>
      </w:r>
      <w:r>
        <w:t xml:space="preserve"> </w:t>
      </w:r>
      <w:r w:rsidRPr="000D4BBB">
        <w:t>https://www.melbourne.vic.gov.au/art-and-culture/strategies-support/funding/Pages/arts-melbourne-assessment-panels.aspx</w:t>
      </w:r>
    </w:p>
  </w:footnote>
  <w:footnote w:id="7">
    <w:p w14:paraId="21187895" w14:textId="739F9FE7" w:rsidR="00A974A6" w:rsidRDefault="00A974A6">
      <w:pPr>
        <w:pStyle w:val="FootnoteText"/>
      </w:pPr>
      <w:r>
        <w:rPr>
          <w:rStyle w:val="FootnoteReference"/>
        </w:rPr>
        <w:footnoteRef/>
      </w:r>
      <w:r>
        <w:t xml:space="preserve"> </w:t>
      </w:r>
      <w:r w:rsidRPr="00A974A6">
        <w:t>https://www.melbourne.vic.gov.au/about-council/governance-transparency/Pages/grants-and-sponsorships.aspx</w:t>
      </w:r>
    </w:p>
  </w:footnote>
  <w:footnote w:id="8">
    <w:p w14:paraId="52EB249D" w14:textId="77777777" w:rsidR="00034AC8" w:rsidRDefault="00034AC8" w:rsidP="00034AC8">
      <w:pPr>
        <w:pStyle w:val="FootnoteText"/>
      </w:pPr>
      <w:r>
        <w:rPr>
          <w:rStyle w:val="FootnoteReference"/>
        </w:rPr>
        <w:footnoteRef/>
      </w:r>
      <w:r>
        <w:t xml:space="preserve"> </w:t>
      </w:r>
      <w:r w:rsidRPr="00C87FA7">
        <w:t>https://www.melbourne.vic.gov.au/arts-and-culture/strategies-support/funding/pages/arts-creative-investment-partnerships.aspx</w:t>
      </w:r>
    </w:p>
  </w:footnote>
  <w:footnote w:id="9">
    <w:p w14:paraId="70342BE3" w14:textId="77777777" w:rsidR="00034AC8" w:rsidRDefault="00034AC8" w:rsidP="00034AC8">
      <w:pPr>
        <w:pStyle w:val="FootnoteText"/>
      </w:pPr>
      <w:r>
        <w:rPr>
          <w:rStyle w:val="FootnoteReference"/>
        </w:rPr>
        <w:footnoteRef/>
      </w:r>
      <w:r>
        <w:t xml:space="preserve"> </w:t>
      </w:r>
      <w:r w:rsidRPr="000D4BBB">
        <w:t>https://www.melbourne.vic.gov.au/community/health-support-services/multicultural-services/Pages/translation-services.aspx</w:t>
      </w:r>
    </w:p>
  </w:footnote>
  <w:footnote w:id="10">
    <w:p w14:paraId="1C848DCA" w14:textId="77777777" w:rsidR="00034AC8" w:rsidRDefault="00034AC8" w:rsidP="00034AC8">
      <w:pPr>
        <w:pStyle w:val="FootnoteText"/>
      </w:pPr>
      <w:r>
        <w:rPr>
          <w:rStyle w:val="FootnoteReference"/>
        </w:rPr>
        <w:footnoteRef/>
      </w:r>
      <w:r>
        <w:t xml:space="preserve"> </w:t>
      </w:r>
      <w:r w:rsidRPr="000D4BBB">
        <w:t>https://applicanthelp.smartygrants.com.au/help-guide-for-applicants/</w:t>
      </w:r>
    </w:p>
  </w:footnote>
  <w:footnote w:id="11">
    <w:p w14:paraId="24404EA2" w14:textId="77777777" w:rsidR="00034AC8" w:rsidRDefault="00034AC8" w:rsidP="00034AC8">
      <w:pPr>
        <w:pStyle w:val="FootnoteText"/>
      </w:pPr>
      <w:r>
        <w:rPr>
          <w:rStyle w:val="FootnoteReference"/>
        </w:rPr>
        <w:footnoteRef/>
      </w:r>
      <w:r>
        <w:t xml:space="preserve"> </w:t>
      </w:r>
      <w:r w:rsidRPr="000D4BBB">
        <w:t>https://www.smartygrants.com.au/sg/who/?menuId=7072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56A9" w14:textId="77777777" w:rsidR="00FF3191" w:rsidRDefault="00FF3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1A94B" w14:textId="77777777" w:rsidR="00FF3191" w:rsidRDefault="00FF3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4599F" w14:textId="77777777" w:rsidR="00FF3191" w:rsidRDefault="00FF3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9546C8"/>
    <w:multiLevelType w:val="hybridMultilevel"/>
    <w:tmpl w:val="DD50D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7B1D8C"/>
    <w:multiLevelType w:val="hybridMultilevel"/>
    <w:tmpl w:val="EF342BA6"/>
    <w:lvl w:ilvl="0" w:tplc="32B48EA2">
      <w:start w:val="1"/>
      <w:numFmt w:val="decimal"/>
      <w:lvlText w:val="%1."/>
      <w:lvlJc w:val="left"/>
      <w:pPr>
        <w:ind w:left="360" w:hanging="360"/>
      </w:pPr>
      <w:rPr>
        <w:rFonts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11" w15:restartNumberingAfterBreak="0">
    <w:nsid w:val="6E1209CA"/>
    <w:multiLevelType w:val="multilevel"/>
    <w:tmpl w:val="16506B6C"/>
    <w:numStyleLink w:val="ListNumbers"/>
  </w:abstractNum>
  <w:abstractNum w:abstractNumId="12" w15:restartNumberingAfterBreak="0">
    <w:nsid w:val="7A2C43DC"/>
    <w:multiLevelType w:val="multilevel"/>
    <w:tmpl w:val="16506B6C"/>
    <w:numStyleLink w:val="ListNumbers"/>
  </w:abstractNum>
  <w:abstractNum w:abstractNumId="1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372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C8"/>
    <w:rsid w:val="00020B35"/>
    <w:rsid w:val="00034AC8"/>
    <w:rsid w:val="000437C5"/>
    <w:rsid w:val="000474AE"/>
    <w:rsid w:val="00071857"/>
    <w:rsid w:val="000A2BDA"/>
    <w:rsid w:val="000A48D5"/>
    <w:rsid w:val="000B5EAA"/>
    <w:rsid w:val="000C14D2"/>
    <w:rsid w:val="000C4F10"/>
    <w:rsid w:val="000F0E27"/>
    <w:rsid w:val="000F3535"/>
    <w:rsid w:val="000F3B1F"/>
    <w:rsid w:val="00173929"/>
    <w:rsid w:val="00190B0E"/>
    <w:rsid w:val="001B51BF"/>
    <w:rsid w:val="001F46B4"/>
    <w:rsid w:val="001F554D"/>
    <w:rsid w:val="001F5631"/>
    <w:rsid w:val="002063DA"/>
    <w:rsid w:val="00206831"/>
    <w:rsid w:val="002153CF"/>
    <w:rsid w:val="00235973"/>
    <w:rsid w:val="00237019"/>
    <w:rsid w:val="002377CF"/>
    <w:rsid w:val="002436A6"/>
    <w:rsid w:val="002438B7"/>
    <w:rsid w:val="0024773F"/>
    <w:rsid w:val="00273DC8"/>
    <w:rsid w:val="00286160"/>
    <w:rsid w:val="002C2523"/>
    <w:rsid w:val="002D630D"/>
    <w:rsid w:val="002D672C"/>
    <w:rsid w:val="002E40CC"/>
    <w:rsid w:val="002E4153"/>
    <w:rsid w:val="002F20C5"/>
    <w:rsid w:val="002F45EA"/>
    <w:rsid w:val="002F47B6"/>
    <w:rsid w:val="002F6A88"/>
    <w:rsid w:val="00322F2F"/>
    <w:rsid w:val="003441EE"/>
    <w:rsid w:val="00380F44"/>
    <w:rsid w:val="00392688"/>
    <w:rsid w:val="003972D9"/>
    <w:rsid w:val="003D63A8"/>
    <w:rsid w:val="003E02DF"/>
    <w:rsid w:val="003E3A9F"/>
    <w:rsid w:val="003E7BF9"/>
    <w:rsid w:val="00407429"/>
    <w:rsid w:val="00426584"/>
    <w:rsid w:val="00431D45"/>
    <w:rsid w:val="004564F4"/>
    <w:rsid w:val="00457042"/>
    <w:rsid w:val="00466429"/>
    <w:rsid w:val="004878DB"/>
    <w:rsid w:val="00493E0A"/>
    <w:rsid w:val="00494A2D"/>
    <w:rsid w:val="004A26E3"/>
    <w:rsid w:val="004D00DD"/>
    <w:rsid w:val="004D772D"/>
    <w:rsid w:val="004E1ECE"/>
    <w:rsid w:val="004F54F5"/>
    <w:rsid w:val="00531AC0"/>
    <w:rsid w:val="00535159"/>
    <w:rsid w:val="0053666A"/>
    <w:rsid w:val="005620A0"/>
    <w:rsid w:val="0056634E"/>
    <w:rsid w:val="0057264C"/>
    <w:rsid w:val="00577A39"/>
    <w:rsid w:val="005814F5"/>
    <w:rsid w:val="005B5B7B"/>
    <w:rsid w:val="005D00B0"/>
    <w:rsid w:val="005D30BA"/>
    <w:rsid w:val="005D545E"/>
    <w:rsid w:val="005E2E0D"/>
    <w:rsid w:val="005E44C0"/>
    <w:rsid w:val="005F4391"/>
    <w:rsid w:val="00617E2D"/>
    <w:rsid w:val="00630A6A"/>
    <w:rsid w:val="00632C6C"/>
    <w:rsid w:val="006340FA"/>
    <w:rsid w:val="00635BB6"/>
    <w:rsid w:val="00687D4A"/>
    <w:rsid w:val="00694C79"/>
    <w:rsid w:val="006A2F63"/>
    <w:rsid w:val="006A3718"/>
    <w:rsid w:val="006A7388"/>
    <w:rsid w:val="006C7F7B"/>
    <w:rsid w:val="00707C60"/>
    <w:rsid w:val="00712950"/>
    <w:rsid w:val="00715B3E"/>
    <w:rsid w:val="0073401D"/>
    <w:rsid w:val="007361D8"/>
    <w:rsid w:val="00737A99"/>
    <w:rsid w:val="00782E37"/>
    <w:rsid w:val="00786B88"/>
    <w:rsid w:val="007A0AA6"/>
    <w:rsid w:val="007B2496"/>
    <w:rsid w:val="007D0114"/>
    <w:rsid w:val="007E291E"/>
    <w:rsid w:val="007E4AB9"/>
    <w:rsid w:val="007F0661"/>
    <w:rsid w:val="00802A52"/>
    <w:rsid w:val="00806F0F"/>
    <w:rsid w:val="00831224"/>
    <w:rsid w:val="00850D66"/>
    <w:rsid w:val="00855F84"/>
    <w:rsid w:val="00881C97"/>
    <w:rsid w:val="00895CCF"/>
    <w:rsid w:val="008D2DDA"/>
    <w:rsid w:val="008E2476"/>
    <w:rsid w:val="008F437F"/>
    <w:rsid w:val="009043FC"/>
    <w:rsid w:val="009050C6"/>
    <w:rsid w:val="0091365A"/>
    <w:rsid w:val="00931B93"/>
    <w:rsid w:val="0095274A"/>
    <w:rsid w:val="00955E32"/>
    <w:rsid w:val="00965959"/>
    <w:rsid w:val="00966C80"/>
    <w:rsid w:val="0097181E"/>
    <w:rsid w:val="00990B3C"/>
    <w:rsid w:val="00995097"/>
    <w:rsid w:val="009D1FBA"/>
    <w:rsid w:val="009E3599"/>
    <w:rsid w:val="009F4681"/>
    <w:rsid w:val="00A01D13"/>
    <w:rsid w:val="00A121B3"/>
    <w:rsid w:val="00A42355"/>
    <w:rsid w:val="00A426D1"/>
    <w:rsid w:val="00A455AF"/>
    <w:rsid w:val="00A730D7"/>
    <w:rsid w:val="00A84688"/>
    <w:rsid w:val="00A8651A"/>
    <w:rsid w:val="00A9204A"/>
    <w:rsid w:val="00A92A28"/>
    <w:rsid w:val="00A95227"/>
    <w:rsid w:val="00A974A6"/>
    <w:rsid w:val="00AA4303"/>
    <w:rsid w:val="00AB2894"/>
    <w:rsid w:val="00AB6132"/>
    <w:rsid w:val="00AD2B6E"/>
    <w:rsid w:val="00AE1E1B"/>
    <w:rsid w:val="00AF02E0"/>
    <w:rsid w:val="00AF64D1"/>
    <w:rsid w:val="00B152AF"/>
    <w:rsid w:val="00B45AB7"/>
    <w:rsid w:val="00B4770D"/>
    <w:rsid w:val="00B53D5A"/>
    <w:rsid w:val="00B61F7F"/>
    <w:rsid w:val="00B62E4A"/>
    <w:rsid w:val="00B93B1F"/>
    <w:rsid w:val="00BA0045"/>
    <w:rsid w:val="00BC5E8E"/>
    <w:rsid w:val="00BC719D"/>
    <w:rsid w:val="00BE100F"/>
    <w:rsid w:val="00BE1269"/>
    <w:rsid w:val="00BE3D42"/>
    <w:rsid w:val="00BE4B49"/>
    <w:rsid w:val="00BE6801"/>
    <w:rsid w:val="00C005D1"/>
    <w:rsid w:val="00C021DD"/>
    <w:rsid w:val="00C0291B"/>
    <w:rsid w:val="00C05740"/>
    <w:rsid w:val="00C07190"/>
    <w:rsid w:val="00C14F9F"/>
    <w:rsid w:val="00C2007C"/>
    <w:rsid w:val="00C37F6A"/>
    <w:rsid w:val="00C42412"/>
    <w:rsid w:val="00C6114A"/>
    <w:rsid w:val="00C62909"/>
    <w:rsid w:val="00C73DA2"/>
    <w:rsid w:val="00C85B66"/>
    <w:rsid w:val="00CA3730"/>
    <w:rsid w:val="00CB6145"/>
    <w:rsid w:val="00CD382D"/>
    <w:rsid w:val="00CE3032"/>
    <w:rsid w:val="00CF7DCA"/>
    <w:rsid w:val="00D00427"/>
    <w:rsid w:val="00D02C4A"/>
    <w:rsid w:val="00D1424A"/>
    <w:rsid w:val="00D4624D"/>
    <w:rsid w:val="00D6172A"/>
    <w:rsid w:val="00D72756"/>
    <w:rsid w:val="00D77363"/>
    <w:rsid w:val="00DB601B"/>
    <w:rsid w:val="00DC37FB"/>
    <w:rsid w:val="00DF3B50"/>
    <w:rsid w:val="00DF5250"/>
    <w:rsid w:val="00E01236"/>
    <w:rsid w:val="00E36A63"/>
    <w:rsid w:val="00E4646D"/>
    <w:rsid w:val="00E5089C"/>
    <w:rsid w:val="00E54590"/>
    <w:rsid w:val="00E6292E"/>
    <w:rsid w:val="00E76D48"/>
    <w:rsid w:val="00E86DCD"/>
    <w:rsid w:val="00E94A1C"/>
    <w:rsid w:val="00EA2130"/>
    <w:rsid w:val="00EB578E"/>
    <w:rsid w:val="00EC4AF9"/>
    <w:rsid w:val="00EC73C4"/>
    <w:rsid w:val="00ED7629"/>
    <w:rsid w:val="00EF11AE"/>
    <w:rsid w:val="00F03DF7"/>
    <w:rsid w:val="00F056E0"/>
    <w:rsid w:val="00F07FBE"/>
    <w:rsid w:val="00F24B46"/>
    <w:rsid w:val="00F36E26"/>
    <w:rsid w:val="00F4048D"/>
    <w:rsid w:val="00F41FC6"/>
    <w:rsid w:val="00F61B69"/>
    <w:rsid w:val="00F63593"/>
    <w:rsid w:val="00F83261"/>
    <w:rsid w:val="00F9169B"/>
    <w:rsid w:val="00FA2DFF"/>
    <w:rsid w:val="00FC6D23"/>
    <w:rsid w:val="00FD5660"/>
    <w:rsid w:val="00FD6AF5"/>
    <w:rsid w:val="00FE0484"/>
    <w:rsid w:val="00FF1497"/>
    <w:rsid w:val="00FF31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C2F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CommentReference">
    <w:name w:val="annotation reference"/>
    <w:rsid w:val="00034AC8"/>
    <w:rPr>
      <w:sz w:val="16"/>
      <w:szCs w:val="16"/>
    </w:rPr>
  </w:style>
  <w:style w:type="paragraph" w:styleId="CommentText">
    <w:name w:val="annotation text"/>
    <w:basedOn w:val="Normal"/>
    <w:link w:val="CommentTextChar"/>
    <w:rsid w:val="00034AC8"/>
    <w:rPr>
      <w:szCs w:val="20"/>
    </w:rPr>
  </w:style>
  <w:style w:type="character" w:customStyle="1" w:styleId="CommentTextChar">
    <w:name w:val="Comment Text Char"/>
    <w:basedOn w:val="DefaultParagraphFont"/>
    <w:link w:val="CommentText"/>
    <w:rsid w:val="00034AC8"/>
    <w:rPr>
      <w:rFonts w:ascii="Arial" w:hAnsi="Arial"/>
      <w:lang w:eastAsia="en-US"/>
    </w:rPr>
  </w:style>
  <w:style w:type="paragraph" w:styleId="CommentSubject">
    <w:name w:val="annotation subject"/>
    <w:basedOn w:val="CommentText"/>
    <w:next w:val="CommentText"/>
    <w:link w:val="CommentSubjectChar"/>
    <w:semiHidden/>
    <w:unhideWhenUsed/>
    <w:rsid w:val="00630A6A"/>
    <w:pPr>
      <w:spacing w:line="240" w:lineRule="auto"/>
    </w:pPr>
    <w:rPr>
      <w:b/>
      <w:bCs/>
    </w:rPr>
  </w:style>
  <w:style w:type="character" w:customStyle="1" w:styleId="CommentSubjectChar">
    <w:name w:val="Comment Subject Char"/>
    <w:basedOn w:val="CommentTextChar"/>
    <w:link w:val="CommentSubject"/>
    <w:semiHidden/>
    <w:rsid w:val="00630A6A"/>
    <w:rPr>
      <w:rFonts w:ascii="Arial" w:hAnsi="Arial"/>
      <w:b/>
      <w:bCs/>
      <w:lang w:eastAsia="en-US"/>
    </w:rPr>
  </w:style>
  <w:style w:type="paragraph" w:styleId="Revision">
    <w:name w:val="Revision"/>
    <w:hidden/>
    <w:semiHidden/>
    <w:rsid w:val="00966C80"/>
    <w:rPr>
      <w:rFonts w:ascii="Arial" w:hAnsi="Arial"/>
      <w:szCs w:val="24"/>
      <w:lang w:eastAsia="en-US"/>
    </w:rPr>
  </w:style>
  <w:style w:type="character" w:styleId="FollowedHyperlink">
    <w:name w:val="FollowedHyperlink"/>
    <w:basedOn w:val="DefaultParagraphFont"/>
    <w:semiHidden/>
    <w:unhideWhenUsed/>
    <w:rsid w:val="00BE3D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lbourne.vic.gov.au/about-melbourne/melbourne-profile/pages/city-maps.aspx" TargetMode="External"/><Relationship Id="rId18" Type="http://schemas.openxmlformats.org/officeDocument/2006/relationships/hyperlink" Target="https://www.melbourne.vic.gov.au/community/health-support-services/multicultural-services/Pages/translation-services.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ervice@smartygrants.com.au" TargetMode="External"/><Relationship Id="rId7" Type="http://schemas.openxmlformats.org/officeDocument/2006/relationships/endnotes" Target="endnotes.xml"/><Relationship Id="rId12" Type="http://schemas.openxmlformats.org/officeDocument/2006/relationships/hyperlink" Target="https://melbourne.smartygrants.com.au/" TargetMode="External"/><Relationship Id="rId17" Type="http://schemas.openxmlformats.org/officeDocument/2006/relationships/hyperlink" Target="https://www.melbourne.vic.gov.au/arts-and-culture/strategies-support/funding/pages/arts-creative-investment-partnerships.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rtsgrants@melbourne.vic.gov.au" TargetMode="External"/><Relationship Id="rId20" Type="http://schemas.openxmlformats.org/officeDocument/2006/relationships/hyperlink" Target="https://www.smartygrants.com.au/sg/who/?menuId=707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arts-and-culture/strategies-support/Pages/creative-funding-framework.aspx" TargetMode="External"/><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melbourne.vic.gov.au/about-council/governance-transparency/Pages/grants-and-sponsorships.asp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melbourne.vic.gov.au/arts-and-culture/strategies-support/pages/creative-strategy-2018-28.aspx" TargetMode="External"/><Relationship Id="rId19" Type="http://schemas.openxmlformats.org/officeDocument/2006/relationships/hyperlink" Target="https://applicanthelp.smartygrants.com.au/help-guide-for-applicants/"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eventbrite.com.au/o/city-of-melbourne-10687547785" TargetMode="External"/><Relationship Id="rId14" Type="http://schemas.openxmlformats.org/officeDocument/2006/relationships/hyperlink" Target="https://www.melbourne.vic.gov.au/arts-and-culture/strategies-support/funding/Pages/arts-melbourne-assessment-panels.aspx"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7305A3-20A1-4B90-B999-06722A593565}">
  <ds:schemaRefs>
    <ds:schemaRef ds:uri="http://schemas.openxmlformats.org/officeDocument/2006/bibliography"/>
  </ds:schemaRefs>
</ds:datastoreItem>
</file>

<file path=customXml/itemProps2.xml><?xml version="1.0" encoding="utf-8"?>
<ds:datastoreItem xmlns:ds="http://schemas.openxmlformats.org/officeDocument/2006/customXml" ds:itemID="{7EF845F7-00AA-46CE-A746-BACD3FE710CB}"/>
</file>

<file path=customXml/itemProps3.xml><?xml version="1.0" encoding="utf-8"?>
<ds:datastoreItem xmlns:ds="http://schemas.openxmlformats.org/officeDocument/2006/customXml" ds:itemID="{2205CC41-2DFE-44CB-9665-CFFE1BE05C4B}"/>
</file>

<file path=customXml/itemProps4.xml><?xml version="1.0" encoding="utf-8"?>
<ds:datastoreItem xmlns:ds="http://schemas.openxmlformats.org/officeDocument/2006/customXml" ds:itemID="{9F21217E-459A-41ED-833E-D676CF8A5941}"/>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Multi-year Arts Grants Guidelines 2025-2027</dc:title>
  <dc:subject/>
  <dc:creator>City of Melbourne</dc:creator>
  <cp:keywords/>
  <cp:lastModifiedBy/>
  <cp:revision>1</cp:revision>
  <dcterms:created xsi:type="dcterms:W3CDTF">2024-04-08T04:39:00Z</dcterms:created>
  <dcterms:modified xsi:type="dcterms:W3CDTF">2024-04-08T04:40:00Z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20240408144023118</vt:lpwstr>
  </property>
  <property fmtid="{D5CDD505-2E9C-101B-9397-08002B2CF9AE}" pid="3" name="ContentTypeId">
    <vt:lpwstr>0x010100759DCEB4B14F5A418FC6C1C10DF60084</vt:lpwstr>
  </property>
</Properties>
</file>